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等线" w:hAnsi="等线" w:eastAsia="等线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等线" w:hAnsi="等线" w:eastAsia="等线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逸青糠酸莫米松鼻喷雾剂</w:t>
      </w:r>
      <w:r>
        <w:rPr>
          <w:rFonts w:hint="eastAsia" w:ascii="等线" w:hAnsi="等线" w:eastAsia="等线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介绍</w:t>
      </w:r>
    </w:p>
    <w:bookmarkEnd w:id="0"/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</w:rPr>
        <w:t>糠酸莫米松鼻喷雾剂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，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是由浙江仙琚制药股份有限公司研发、生产的一款</w:t>
      </w:r>
      <w:r>
        <w:rPr>
          <w:rFonts w:hint="eastAsia" w:ascii="等线" w:hAnsi="等线" w:eastAsia="等线" w:cs="Arial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喷雾剂</w:t>
      </w:r>
      <w:r>
        <w:rPr>
          <w:rFonts w:hint="eastAsia" w:ascii="等线" w:hAnsi="等线" w:eastAsia="等线" w:cs="Arial"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药品。</w:t>
      </w: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>适用于治疗成人、青少年和3至11岁儿童季节性或常年性鼻炎，对于曾有中至重度季节性过敏性鼻炎症状的12岁以上的患者。</w:t>
      </w:r>
    </w:p>
    <w:p>
      <w:pPr>
        <w:ind w:firstLine="0" w:firstLineChars="0"/>
        <w:rPr>
          <w:rFonts w:ascii="等线" w:hAnsi="等线" w:eastAsia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基本信息栏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ascii="等线" w:hAnsi="等线" w:eastAsia="等线" w:cs="Arial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Arial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中</w:t>
      </w:r>
      <w:r>
        <w:rPr>
          <w:rFonts w:ascii="等线" w:hAnsi="等线" w:eastAsia="等线" w:cs="Arial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文名</w:t>
      </w:r>
      <w:r>
        <w:rPr>
          <w:rFonts w:hint="eastAsia" w:ascii="等线" w:hAnsi="等线" w:eastAsia="等线" w:cs="Arial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等线" w:hAnsi="等线" w:eastAsia="等线" w:cs="Arial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糠酸莫米松鼻喷雾剂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Arial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Arial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外文</w:t>
      </w:r>
      <w:r>
        <w:rPr>
          <w:rFonts w:ascii="等线" w:hAnsi="等线" w:eastAsia="等线" w:cs="Arial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等线" w:hAnsi="等线" w:eastAsia="等线" w:cs="Arial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等线" w:hAnsi="等线" w:eastAsia="等线" w:cs="Arial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Mometasone Furoate Nasal Spray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default" w:ascii="等线" w:hAnsi="等线" w:eastAsia="等线" w:cs="Arial"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Arial"/>
          <w:b/>
          <w:bCs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汉语拼音：</w:t>
      </w:r>
      <w:r>
        <w:rPr>
          <w:rFonts w:hint="eastAsia" w:ascii="等线" w:hAnsi="等线" w:eastAsia="等线" w:cs="Arial"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Kangsuan Momisong Bi Penwuji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ascii="等线" w:hAnsi="等线" w:eastAsia="等线" w:cs="Arial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Arial"/>
          <w:b/>
          <w:bCs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品牌名称</w:t>
      </w:r>
      <w:r>
        <w:rPr>
          <w:rFonts w:hint="eastAsia" w:ascii="等线" w:hAnsi="等线" w:eastAsia="等线" w:cs="Arial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等线" w:hAnsi="等线" w:eastAsia="等线" w:cs="Arial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逸青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ascii="等线" w:hAnsi="等线" w:eastAsia="等线" w:cs="Arial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所属</w:t>
      </w:r>
      <w:r>
        <w:rPr>
          <w:rFonts w:hint="eastAsia" w:ascii="等线" w:hAnsi="等线" w:eastAsia="等线" w:cs="Arial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公司：</w:t>
      </w:r>
      <w:r>
        <w:rPr>
          <w:rFonts w:hint="eastAsia" w:ascii="等线" w:hAnsi="等线" w:eastAsia="等线" w:cs="等线"/>
          <w:sz w:val="24"/>
          <w:szCs w:val="24"/>
        </w:rPr>
        <w:t>浙江仙琚制药股份有限公司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Arial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Arial"/>
          <w:b/>
          <w:bCs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剂型：</w:t>
      </w:r>
      <w:r>
        <w:rPr>
          <w:rFonts w:hint="eastAsia" w:ascii="等线" w:hAnsi="等线" w:eastAsia="等线" w:cs="Arial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喷雾剂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default" w:ascii="等线" w:hAnsi="等线" w:eastAsia="等线" w:cs="Arial"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Arial"/>
          <w:b/>
          <w:bCs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产品类别：</w:t>
      </w:r>
      <w:r>
        <w:rPr>
          <w:rFonts w:hint="eastAsia" w:ascii="等线" w:hAnsi="等线" w:eastAsia="等线" w:cs="Arial"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化学药品</w:t>
      </w:r>
    </w:p>
    <w:p>
      <w:pPr>
        <w:ind w:firstLine="0" w:firstLineChars="0"/>
        <w:rPr>
          <w:rFonts w:hint="default" w:ascii="等线" w:hAnsi="等线" w:eastAsia="等线" w:cs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适应症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>适用于治疗成人、青少年和3至11岁儿童季节性或常年性鼻炎，对于曾有中至重度季节性过敏性鼻炎症状的12岁以上的患者。</w:t>
      </w:r>
    </w:p>
    <w:p>
      <w:pPr>
        <w:ind w:firstLine="0" w:firstLineChars="0"/>
        <w:rPr>
          <w:rFonts w:hint="eastAsia" w:ascii="等线" w:hAnsi="等线" w:eastAsia="等线" w:cs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用法用量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季节过敏性或常年性鼻炎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通常先手揿喷雾器6～7次作为启动，直至看到均匀的喷雾，然后鼻腔给药,每揿喷出糠酸莫米松混悬液约100mg，内含糠酸莫米松50μg，如果喷雾器停用14日或14日以上，则在下一次应用时应重新启动。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在每次用药前充分振摇容器。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成人（包括老年患者）和青年：用于预防和治疗的常用推荐量为每侧鼻孔2揿（每揿为50μg），一日1次（总量为200μg），一旦症状被控制后，剂量可减至每侧鼻孔1揿（总量100μg），即能维持疗效。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如果症状未被有效控制，可增加剂量至每侧鼻孔4揿的最大每日剂量，一日1次（总量 400μg），在症状控制后减小剂量。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在首次给药后12小时即能产生明显的临床效果。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3至11岁儿童：常用推荐量为每侧鼻孔1揿（每揿为50μg），一日1次（总量为100μg）。</w:t>
      </w:r>
    </w:p>
    <w:p>
      <w:pPr>
        <w:ind w:firstLine="0" w:firstLineChars="0"/>
        <w:rPr>
          <w:rFonts w:hint="eastAsia" w:ascii="等线" w:hAnsi="等线" w:eastAsia="等线" w:cs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规格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>每瓶60揿，每揿含糠酸莫米松50μg，药液浓度为0.05%(g/g)</w:t>
      </w:r>
    </w:p>
    <w:p>
      <w:pPr>
        <w:ind w:firstLine="0" w:firstLineChars="0"/>
        <w:rPr>
          <w:rFonts w:hint="eastAsia" w:ascii="等线" w:hAnsi="等线" w:eastAsia="等线" w:cs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贮藏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在2℃～25℃保存。</w:t>
      </w:r>
    </w:p>
    <w:p>
      <w:pPr>
        <w:ind w:firstLine="0" w:firstLineChars="0"/>
        <w:rPr>
          <w:rFonts w:hint="eastAsia" w:ascii="等线" w:hAnsi="等线" w:eastAsia="等线" w:cs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包装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药用聚酯瓶包装，每盒1瓶，每瓶60喷</w:t>
      </w:r>
    </w:p>
    <w:p>
      <w:pPr>
        <w:ind w:firstLine="0" w:firstLineChars="0"/>
        <w:rPr>
          <w:rFonts w:hint="eastAsia" w:ascii="等线" w:hAnsi="等线" w:eastAsia="等线" w:cs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有效期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24个月</w:t>
      </w:r>
    </w:p>
    <w:p>
      <w:pPr>
        <w:ind w:firstLine="0" w:firstLineChars="0"/>
        <w:rPr>
          <w:rFonts w:hint="eastAsia" w:ascii="等线" w:hAnsi="等线" w:eastAsia="等线" w:cs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批准文号</w:t>
      </w:r>
    </w:p>
    <w:p>
      <w:pPr>
        <w:widowControl/>
        <w:shd w:val="clear" w:color="auto" w:fill="FFFFFF"/>
        <w:spacing w:line="390" w:lineRule="atLeast"/>
        <w:ind w:firstLine="480"/>
        <w:jc w:val="left"/>
        <w:rPr>
          <w:rFonts w:hint="default" w:ascii="等线" w:hAnsi="等线" w:eastAsia="等线" w:cs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国药准字H20113481</w:t>
      </w:r>
    </w:p>
    <w:p>
      <w:pPr>
        <w:ind w:firstLine="0" w:firstLineChars="0"/>
        <w:rPr>
          <w:rFonts w:hint="eastAsia" w:ascii="等线" w:hAnsi="等线" w:eastAsia="等线" w:cs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生产企业</w:t>
      </w:r>
    </w:p>
    <w:p>
      <w:pPr>
        <w:spacing w:line="120" w:lineRule="auto"/>
        <w:ind w:firstLine="480"/>
        <w:jc w:val="left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>上市许可持有人：浙江仙琚制药股份有限公司</w:t>
      </w:r>
    </w:p>
    <w:p>
      <w:pPr>
        <w:spacing w:line="120" w:lineRule="auto"/>
        <w:ind w:firstLine="480"/>
        <w:jc w:val="left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>注册地址：浙江省台州市仙居县仙药路1号</w:t>
      </w:r>
    </w:p>
    <w:p>
      <w:pPr>
        <w:spacing w:line="120" w:lineRule="auto"/>
        <w:ind w:firstLine="480"/>
        <w:jc w:val="left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>生产企业：浙江仙琚制药股份有限公司</w:t>
      </w:r>
    </w:p>
    <w:p>
      <w:pPr>
        <w:spacing w:line="120" w:lineRule="auto"/>
        <w:ind w:firstLine="480"/>
        <w:jc w:val="left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>生产地址：浙江省台州市仙居县福应街道现代工业集聚区兴业路6号</w:t>
      </w:r>
    </w:p>
    <w:p>
      <w:pPr>
        <w:ind w:firstLine="0" w:firstLineChars="0"/>
        <w:rPr>
          <w:rFonts w:hint="default" w:ascii="等线" w:hAnsi="等线" w:eastAsia="等线" w:cs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使用和操作说明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使用前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1、上下振摇瓶子使药液充分混匀，拔掉防尘帽；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2、用右手大拇指或右手掌心托在瓶底，食指和中指分别放在喷头两侧，夹住喷头；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3、如第一次使用或14日或更久未使用，请检查喷雾器喷雾是否正常。可用食指和中指均匀揿压喷头两侧，对空揿压数次，直到喷出药液为止；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使用时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保持自然头位（不用抬头），将鼻喷雾剂的喷头移入鼻腔内，保持瓶子基本竖直，轻轻地用鼻吸气同时揿压喷头两侧喷出药液；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使用后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1、</w:t>
      </w:r>
      <w:r>
        <w:rPr>
          <w:rFonts w:hint="eastAsia" w:ascii="等线" w:hAnsi="等线" w:eastAsia="等线" w:cs="等线"/>
          <w:sz w:val="24"/>
          <w:szCs w:val="24"/>
        </w:rPr>
        <w:t>用纱布或手帕擦干，盖上防尘帽。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2、</w:t>
      </w:r>
      <w:r>
        <w:rPr>
          <w:rFonts w:hint="eastAsia" w:ascii="等线" w:hAnsi="等线" w:eastAsia="等线" w:cs="等线"/>
          <w:sz w:val="24"/>
          <w:szCs w:val="24"/>
        </w:rPr>
        <w:t>常规清洁鼻喷雾器非常重要，否则将影响鼻喷雾器的正常工作。按下述方法彻底清洁装置: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清洁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①、清洁时，取下防尘帽，轻轻取下喷嘴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②、温水中清洗喷嘴和防尘帽，然后在流动的水流下冲洗。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③、清洗后可将本品放置于温暖的空间干燥，将喷嘴还原与瓶身相连，并盖上防尘帽。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④、禁止插入针或其他尖锐的器具刺穿喷嘴，此操作会损坏喷嘴，导致无法释放正确剂量的药物。</w:t>
      </w:r>
    </w:p>
    <w:p>
      <w:pPr>
        <w:ind w:firstLine="0" w:firstLineChars="0"/>
        <w:rPr>
          <w:rFonts w:hint="eastAsia" w:ascii="等线" w:hAnsi="等线" w:eastAsia="等线" w:cs="等线"/>
          <w:b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注意事项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禁止刺穿喷嘴。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鼻喷雾器的清洁：清洁时，取下防尘帽，轻轻取下喷嘴，在温水中清洗喷嘴和防尘帽，然后在流动的水流下冲洗。禁止插入针或其他尖锐的器具刺穿喷嘴，此操作会损坏喷嘴，导致无法释放正确剂量的药物。清洗后可将本品放置于温暖的空间干燥，将喷嘴还原与瓶身相连，并盖上防尘帽。清洗后首次使用时需手揿喷雾剂2次以重新启动。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使用后，用纱布或手帕擦干，盖上瓶盖。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对于未经治疗的鼻粘膜局部感染，不应使用本品。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对于活动性或静止性呼吸道结核感染、未经治疗的真菌、细菌、全身性病毒感染或眼单纯疱疹的患者慎用本品。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运动员慎用。</w:t>
      </w:r>
    </w:p>
    <w:p>
      <w:pPr>
        <w:spacing w:line="120" w:lineRule="auto"/>
        <w:ind w:firstLine="480"/>
        <w:jc w:val="left"/>
        <w:rPr>
          <w:rFonts w:hint="eastAsia" w:ascii="等线" w:hAnsi="等线" w:eastAsia="等线" w:cs="等线"/>
          <w:sz w:val="24"/>
          <w:szCs w:val="24"/>
        </w:rPr>
      </w:pPr>
    </w:p>
    <w:p>
      <w:pPr>
        <w:spacing w:line="120" w:lineRule="auto"/>
        <w:ind w:firstLine="480"/>
        <w:jc w:val="left"/>
        <w:rPr>
          <w:rFonts w:ascii="等线" w:hAnsi="等线" w:eastAsia="等线" w:cs="等线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MGYyNTU1ODlhZDkzY2EzNTljMWQ4ZTA2ZThhYmMifQ=="/>
  </w:docVars>
  <w:rsids>
    <w:rsidRoot w:val="001876D9"/>
    <w:rsid w:val="000275C8"/>
    <w:rsid w:val="00073704"/>
    <w:rsid w:val="000E59AA"/>
    <w:rsid w:val="0011259B"/>
    <w:rsid w:val="00157AEB"/>
    <w:rsid w:val="001644CE"/>
    <w:rsid w:val="001876D9"/>
    <w:rsid w:val="001929E6"/>
    <w:rsid w:val="00195FC3"/>
    <w:rsid w:val="001B1910"/>
    <w:rsid w:val="001B77D6"/>
    <w:rsid w:val="001C72D4"/>
    <w:rsid w:val="001D7A27"/>
    <w:rsid w:val="002165D6"/>
    <w:rsid w:val="0022454C"/>
    <w:rsid w:val="00227695"/>
    <w:rsid w:val="002555B9"/>
    <w:rsid w:val="00255995"/>
    <w:rsid w:val="002A485D"/>
    <w:rsid w:val="002B18A3"/>
    <w:rsid w:val="002B5632"/>
    <w:rsid w:val="002B5DC0"/>
    <w:rsid w:val="002F6AD5"/>
    <w:rsid w:val="00303337"/>
    <w:rsid w:val="00334CD2"/>
    <w:rsid w:val="00352AA4"/>
    <w:rsid w:val="003A1450"/>
    <w:rsid w:val="003E0B5C"/>
    <w:rsid w:val="003F7E45"/>
    <w:rsid w:val="00403072"/>
    <w:rsid w:val="00443543"/>
    <w:rsid w:val="00453A1C"/>
    <w:rsid w:val="00492FD5"/>
    <w:rsid w:val="004C51B9"/>
    <w:rsid w:val="004C534B"/>
    <w:rsid w:val="004C6D92"/>
    <w:rsid w:val="00574C58"/>
    <w:rsid w:val="00581868"/>
    <w:rsid w:val="00592891"/>
    <w:rsid w:val="005A15C7"/>
    <w:rsid w:val="005D2C12"/>
    <w:rsid w:val="005D5AF1"/>
    <w:rsid w:val="00604489"/>
    <w:rsid w:val="00611330"/>
    <w:rsid w:val="0061446D"/>
    <w:rsid w:val="00665490"/>
    <w:rsid w:val="0067782F"/>
    <w:rsid w:val="00680CCF"/>
    <w:rsid w:val="006B376D"/>
    <w:rsid w:val="006B4A27"/>
    <w:rsid w:val="006E2E60"/>
    <w:rsid w:val="006E3439"/>
    <w:rsid w:val="00721BDD"/>
    <w:rsid w:val="00735C29"/>
    <w:rsid w:val="007B0BDD"/>
    <w:rsid w:val="007E143D"/>
    <w:rsid w:val="007E4A8A"/>
    <w:rsid w:val="007E7033"/>
    <w:rsid w:val="007F0D3A"/>
    <w:rsid w:val="0083760E"/>
    <w:rsid w:val="00861B14"/>
    <w:rsid w:val="00873F1C"/>
    <w:rsid w:val="00891795"/>
    <w:rsid w:val="008C4AE4"/>
    <w:rsid w:val="008D6875"/>
    <w:rsid w:val="00901A9F"/>
    <w:rsid w:val="00953302"/>
    <w:rsid w:val="00971E0B"/>
    <w:rsid w:val="009B0A28"/>
    <w:rsid w:val="009B0BC7"/>
    <w:rsid w:val="009C3C80"/>
    <w:rsid w:val="00A04E12"/>
    <w:rsid w:val="00A25EAE"/>
    <w:rsid w:val="00A87B51"/>
    <w:rsid w:val="00AB29B2"/>
    <w:rsid w:val="00AC6344"/>
    <w:rsid w:val="00AC641F"/>
    <w:rsid w:val="00AF066B"/>
    <w:rsid w:val="00B57AAF"/>
    <w:rsid w:val="00B67F04"/>
    <w:rsid w:val="00B83D24"/>
    <w:rsid w:val="00C32015"/>
    <w:rsid w:val="00CB6DDF"/>
    <w:rsid w:val="00CE460C"/>
    <w:rsid w:val="00D1157C"/>
    <w:rsid w:val="00D1526E"/>
    <w:rsid w:val="00D80C4C"/>
    <w:rsid w:val="00DA02C8"/>
    <w:rsid w:val="00DF10F8"/>
    <w:rsid w:val="00E0413E"/>
    <w:rsid w:val="00E475BF"/>
    <w:rsid w:val="00E50234"/>
    <w:rsid w:val="00E66FE6"/>
    <w:rsid w:val="00E83DAE"/>
    <w:rsid w:val="00E85557"/>
    <w:rsid w:val="00EA765B"/>
    <w:rsid w:val="00EE30D0"/>
    <w:rsid w:val="00F02E64"/>
    <w:rsid w:val="00F22475"/>
    <w:rsid w:val="00F45385"/>
    <w:rsid w:val="00F66A54"/>
    <w:rsid w:val="00FD2F47"/>
    <w:rsid w:val="00FD37B9"/>
    <w:rsid w:val="030C3608"/>
    <w:rsid w:val="046F31BD"/>
    <w:rsid w:val="0702140B"/>
    <w:rsid w:val="19CA208D"/>
    <w:rsid w:val="1BB560A0"/>
    <w:rsid w:val="1C6A7C7F"/>
    <w:rsid w:val="1D4C4CEC"/>
    <w:rsid w:val="1EB57EBC"/>
    <w:rsid w:val="1FFD560A"/>
    <w:rsid w:val="22A3561B"/>
    <w:rsid w:val="25786963"/>
    <w:rsid w:val="272F13E2"/>
    <w:rsid w:val="28E02339"/>
    <w:rsid w:val="2F402F20"/>
    <w:rsid w:val="34813F54"/>
    <w:rsid w:val="382748A0"/>
    <w:rsid w:val="388F6483"/>
    <w:rsid w:val="3953099D"/>
    <w:rsid w:val="534C3D5B"/>
    <w:rsid w:val="56D847E2"/>
    <w:rsid w:val="57414983"/>
    <w:rsid w:val="58470878"/>
    <w:rsid w:val="5AE96F7B"/>
    <w:rsid w:val="64BA7B35"/>
    <w:rsid w:val="6862040E"/>
    <w:rsid w:val="69546B3B"/>
    <w:rsid w:val="6D730699"/>
    <w:rsid w:val="6D995997"/>
    <w:rsid w:val="6EA80864"/>
    <w:rsid w:val="74CA2054"/>
    <w:rsid w:val="774C29B8"/>
    <w:rsid w:val="778C10A8"/>
    <w:rsid w:val="7BED02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ind w:firstLine="0" w:firstLineChars="0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3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j-part-audio-text"/>
    <w:basedOn w:val="9"/>
    <w:qFormat/>
    <w:uiPriority w:val="0"/>
  </w:style>
  <w:style w:type="paragraph" w:styleId="1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415C-6D31-4C5B-A31D-0EC57B3EA4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4</Pages>
  <Words>1418</Words>
  <Characters>1524</Characters>
  <Lines>5</Lines>
  <Paragraphs>1</Paragraphs>
  <TotalTime>1</TotalTime>
  <ScaleCrop>false</ScaleCrop>
  <LinksUpToDate>false</LinksUpToDate>
  <CharactersWithSpaces>1531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2021-06-24T08:40:00Z</dcterms:created>
  <dc:creator>运营 小帮手</dc:creator>
  <cp:lastModifiedBy>Qing</cp:lastModifiedBy>
  <dcterms:modified xsi:type="dcterms:W3CDTF">2023-05-30T09:44:44Z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FE6A0DB50BA4478F8052A14D799989AA_13</vt:lpwstr>
  </property>
</Properties>
</file>