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before="156" w:after="156" w:lineRule="exact" w:line="400"/>
        <w:ind w:firstLine="720" w:firstLineChars="300"/>
        <w:rPr>
          <w:rStyle w:val="style4097"/>
          <w:rFonts w:ascii="宋体" w:hAnsi="宋体"/>
          <w:bCs/>
          <w:iCs/>
          <w:color w:val="000000"/>
          <w:sz w:val="24"/>
        </w:rPr>
      </w:pPr>
      <w:r>
        <w:rPr>
          <w:rStyle w:val="style4097"/>
          <w:rFonts w:ascii="宋体" w:hAnsi="宋体"/>
          <w:bCs/>
          <w:iCs/>
          <w:color w:val="000000"/>
          <w:sz w:val="24"/>
        </w:rPr>
        <w:t>证券代码：002332                  证券简称：仙</w:t>
      </w:r>
      <w:r>
        <w:rPr>
          <w:rStyle w:val="style4097"/>
          <w:rFonts w:ascii="宋体" w:hAnsi="宋体"/>
          <w:bCs/>
          <w:iCs/>
          <w:color w:val="000000"/>
          <w:sz w:val="24"/>
        </w:rPr>
        <w:t>琚</w:t>
      </w:r>
      <w:r>
        <w:rPr>
          <w:rStyle w:val="style4097"/>
          <w:rFonts w:ascii="宋体" w:hAnsi="宋体"/>
          <w:bCs/>
          <w:iCs/>
          <w:color w:val="000000"/>
          <w:sz w:val="24"/>
        </w:rPr>
        <w:t>制药</w:t>
      </w:r>
    </w:p>
    <w:p>
      <w:pPr>
        <w:pStyle w:val="style0"/>
        <w:spacing w:before="156" w:after="156" w:lineRule="exact" w:line="400"/>
        <w:ind w:firstLine="720" w:firstLineChars="300"/>
        <w:rPr>
          <w:rStyle w:val="style4097"/>
          <w:rFonts w:ascii="宋体" w:hAnsi="宋体"/>
          <w:bCs/>
          <w:iCs/>
          <w:color w:val="000000"/>
          <w:sz w:val="24"/>
        </w:rPr>
      </w:pPr>
    </w:p>
    <w:p>
      <w:pPr>
        <w:pStyle w:val="style0"/>
        <w:spacing w:before="156" w:after="156" w:lineRule="exact" w:line="400"/>
        <w:jc w:val="center"/>
        <w:rPr>
          <w:rStyle w:val="style4097"/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Style w:val="style4097"/>
          <w:rFonts w:ascii="宋体" w:hAnsi="宋体"/>
          <w:b/>
          <w:bCs/>
          <w:iCs/>
          <w:color w:val="000000"/>
          <w:sz w:val="32"/>
          <w:szCs w:val="32"/>
        </w:rPr>
        <w:t>浙江仙琚制药股份有限公司投资者关系活动记录表</w:t>
      </w:r>
    </w:p>
    <w:p>
      <w:pPr>
        <w:pStyle w:val="style0"/>
        <w:spacing w:lineRule="exact" w:line="400"/>
        <w:rPr>
          <w:rStyle w:val="style4097"/>
          <w:rFonts w:ascii="宋体" w:hAnsi="宋体"/>
          <w:bCs/>
          <w:iCs/>
          <w:color w:val="ff0000"/>
          <w:sz w:val="24"/>
        </w:rPr>
      </w:pPr>
      <w:r>
        <w:rPr>
          <w:rStyle w:val="style4097"/>
          <w:rFonts w:ascii="宋体" w:hAnsi="宋体"/>
          <w:bCs/>
          <w:iCs/>
          <w:color w:val="000000"/>
          <w:sz w:val="24"/>
        </w:rPr>
        <w:t xml:space="preserve">                                                      编号：20</w:t>
      </w:r>
      <w:r>
        <w:rPr>
          <w:rStyle w:val="style4097"/>
          <w:rFonts w:ascii="宋体" w:hAnsi="宋体" w:hint="eastAsia"/>
          <w:bCs/>
          <w:iCs/>
          <w:color w:val="000000"/>
          <w:sz w:val="24"/>
        </w:rPr>
        <w:t>21</w:t>
      </w:r>
      <w:r>
        <w:rPr>
          <w:rStyle w:val="style4097"/>
          <w:rFonts w:ascii="宋体" w:hAnsi="宋体"/>
          <w:bCs/>
          <w:iCs/>
          <w:color w:val="000000"/>
          <w:sz w:val="24"/>
        </w:rPr>
        <w:t>-0</w:t>
      </w:r>
      <w:r>
        <w:rPr>
          <w:rStyle w:val="style4097"/>
          <w:rFonts w:ascii="宋体" w:hAnsi="宋体" w:hint="eastAsia"/>
          <w:bCs/>
          <w:iCs/>
          <w:color w:val="000000"/>
          <w:sz w:val="24"/>
        </w:rPr>
        <w:t>11</w:t>
      </w:r>
    </w:p>
    <w:tbl>
      <w:tblPr>
        <w:tblW w:w="802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6"/>
        <w:gridCol w:w="6261"/>
      </w:tblGrid>
      <w:tr>
        <w:trPr/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tLeast" w:line="480"/>
              <w:rPr>
                <w:rStyle w:val="style4097"/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Style w:val="style4097"/>
                <w:rFonts w:ascii="宋体" w:hAnsi="宋体"/>
                <w:b/>
                <w:bCs/>
                <w:iCs/>
                <w:color w:val="000000"/>
                <w:sz w:val="24"/>
              </w:rPr>
              <w:t>投资者关系</w:t>
            </w:r>
          </w:p>
          <w:p>
            <w:pPr>
              <w:pStyle w:val="style0"/>
              <w:spacing w:lineRule="atLeast" w:line="480"/>
              <w:rPr>
                <w:rStyle w:val="style4097"/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Style w:val="style4097"/>
                <w:rFonts w:ascii="宋体" w:hAnsi="宋体"/>
                <w:b/>
                <w:bCs/>
                <w:iCs/>
                <w:color w:val="000000"/>
                <w:sz w:val="24"/>
              </w:rPr>
              <w:t>活动类别</w:t>
            </w:r>
          </w:p>
          <w:p>
            <w:pPr>
              <w:pStyle w:val="style0"/>
              <w:spacing w:lineRule="atLeast" w:line="480"/>
              <w:rPr>
                <w:rStyle w:val="style4097"/>
                <w:rFonts w:ascii="宋体" w:hAnsi="宋体"/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tLeast" w:line="480"/>
              <w:rPr>
                <w:rStyle w:val="style4097"/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Style w:val="style4097"/>
                <w:rFonts w:ascii="宋体" w:hAnsi="宋体"/>
                <w:bCs/>
                <w:iCs/>
                <w:color w:val="000000"/>
                <w:sz w:val="24"/>
              </w:rPr>
              <w:sym w:font="Wingdings 2" w:char="52"/>
            </w:r>
            <w:r>
              <w:rPr>
                <w:rStyle w:val="style4097"/>
                <w:rFonts w:ascii="宋体" w:hAnsi="宋体"/>
                <w:iCs/>
                <w:sz w:val="24"/>
              </w:rPr>
              <w:t xml:space="preserve">特定对象调研      </w:t>
            </w:r>
            <w:r>
              <w:rPr>
                <w:rStyle w:val="style4097"/>
                <w:rFonts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Style w:val="style4097"/>
                <w:rFonts w:ascii="宋体" w:hAnsi="宋体"/>
                <w:iCs/>
                <w:sz w:val="24"/>
              </w:rPr>
              <w:t>分析师会议</w:t>
            </w:r>
          </w:p>
          <w:p>
            <w:pPr>
              <w:pStyle w:val="style0"/>
              <w:spacing w:lineRule="atLeast" w:line="480"/>
              <w:rPr>
                <w:rStyle w:val="style4097"/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Style w:val="style4097"/>
                <w:rFonts w:ascii="宋体" w:hAnsi="宋体"/>
                <w:bCs/>
                <w:iCs/>
                <w:color w:val="000000"/>
                <w:sz w:val="24"/>
              </w:rPr>
              <w:sym w:font="Wingdings 2" w:char="a3"/>
            </w:r>
            <w:r>
              <w:rPr>
                <w:rStyle w:val="style4097"/>
                <w:rFonts w:ascii="宋体" w:hAnsi="宋体"/>
                <w:iCs/>
                <w:sz w:val="24"/>
              </w:rPr>
              <w:t xml:space="preserve">媒体采访           </w:t>
            </w:r>
            <w:r>
              <w:rPr>
                <w:rStyle w:val="style4097"/>
                <w:rFonts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Style w:val="style4097"/>
                <w:rFonts w:ascii="宋体" w:hAnsi="宋体"/>
                <w:iCs/>
                <w:sz w:val="24"/>
              </w:rPr>
              <w:t>业绩说明会</w:t>
            </w:r>
          </w:p>
          <w:p>
            <w:pPr>
              <w:pStyle w:val="style0"/>
              <w:spacing w:lineRule="atLeast" w:line="480"/>
              <w:rPr>
                <w:rStyle w:val="style4097"/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Style w:val="style4097"/>
                <w:rFonts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Style w:val="style4097"/>
                <w:rFonts w:ascii="宋体" w:hAnsi="宋体"/>
                <w:iCs/>
                <w:sz w:val="24"/>
              </w:rPr>
              <w:t xml:space="preserve">新闻发布会         </w:t>
            </w:r>
            <w:r>
              <w:rPr>
                <w:rStyle w:val="style4097"/>
                <w:rFonts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Style w:val="style4097"/>
                <w:rFonts w:ascii="宋体" w:hAnsi="宋体"/>
                <w:iCs/>
                <w:sz w:val="24"/>
              </w:rPr>
              <w:t>路演活动</w:t>
            </w:r>
          </w:p>
          <w:p>
            <w:pPr>
              <w:pStyle w:val="style0"/>
              <w:tabs>
                <w:tab w:val="center" w:leader="none" w:pos="3199"/>
              </w:tabs>
              <w:spacing w:lineRule="atLeast" w:line="480"/>
              <w:rPr>
                <w:rStyle w:val="style4097"/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Style w:val="style4097"/>
                <w:rFonts w:ascii="宋体" w:hAnsi="宋体"/>
                <w:bCs/>
                <w:iCs/>
                <w:color w:val="000000"/>
                <w:sz w:val="24"/>
              </w:rPr>
              <w:sym w:font="Wingdings 2" w:char="a3"/>
            </w:r>
            <w:r>
              <w:rPr>
                <w:rStyle w:val="style4097"/>
                <w:rFonts w:ascii="宋体" w:hAnsi="宋体"/>
                <w:iCs/>
                <w:sz w:val="24"/>
              </w:rPr>
              <w:t>现场参观</w:t>
            </w:r>
            <w:r>
              <w:rPr>
                <w:rStyle w:val="style4097"/>
                <w:rFonts w:ascii="宋体" w:hAnsi="宋体" w:hint="eastAsia"/>
                <w:iCs/>
                <w:sz w:val="24"/>
              </w:rPr>
              <w:t xml:space="preserve">           </w:t>
            </w:r>
            <w:r>
              <w:rPr>
                <w:rStyle w:val="style4097"/>
                <w:rFonts w:ascii="宋体" w:hAnsi="宋体"/>
                <w:bCs/>
                <w:iCs/>
                <w:color w:val="000000"/>
                <w:sz w:val="24"/>
              </w:rPr>
              <w:sym w:font="Wingdings 2" w:char="52"/>
            </w:r>
            <w:r>
              <w:rPr>
                <w:rStyle w:val="style4097"/>
                <w:rFonts w:ascii="宋体" w:hAnsi="宋体"/>
                <w:iCs/>
                <w:sz w:val="24"/>
              </w:rPr>
              <w:t xml:space="preserve">其他 </w:t>
            </w:r>
            <w:r>
              <w:rPr>
                <w:rStyle w:val="style4097"/>
                <w:rFonts w:ascii="宋体" w:hAnsi="宋体"/>
                <w:iCs/>
                <w:sz w:val="24"/>
                <w:szCs w:val="22"/>
              </w:rPr>
              <w:t>电话会议</w:t>
            </w:r>
          </w:p>
        </w:tc>
      </w:tr>
      <w:tr>
        <w:tblPrEx/>
        <w:trPr/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tLeast" w:line="480"/>
              <w:rPr>
                <w:rStyle w:val="style4097"/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Style w:val="style4097"/>
                <w:rFonts w:ascii="宋体" w:hAnsi="宋体"/>
                <w:b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tLeast" w:line="480"/>
              <w:ind w:firstLine="480" w:firstLineChars="200"/>
              <w:rPr>
                <w:rStyle w:val="style4097"/>
                <w:rFonts w:ascii="宋体" w:hAnsi="宋体"/>
                <w:iCs/>
                <w:sz w:val="24"/>
              </w:rPr>
            </w:pPr>
            <w:r>
              <w:rPr>
                <w:rStyle w:val="style4097"/>
                <w:rFonts w:ascii="宋体" w:hAnsi="宋体" w:hint="eastAsia"/>
                <w:iCs/>
                <w:sz w:val="24"/>
              </w:rPr>
              <w:t>国泰君安  中</w:t>
            </w:r>
            <w:r>
              <w:rPr>
                <w:rStyle w:val="style4097"/>
                <w:rFonts w:ascii="宋体" w:hAnsi="宋体" w:hint="eastAsia"/>
                <w:iCs/>
                <w:sz w:val="24"/>
              </w:rPr>
              <w:t>信资本</w:t>
            </w:r>
            <w:r>
              <w:rPr>
                <w:rStyle w:val="style4097"/>
                <w:rFonts w:ascii="宋体" w:hAnsi="宋体" w:hint="eastAsia"/>
                <w:iCs/>
                <w:sz w:val="24"/>
              </w:rPr>
              <w:t xml:space="preserve">  招商证券  环</w:t>
            </w:r>
            <w:r>
              <w:rPr>
                <w:rStyle w:val="style4097"/>
                <w:rFonts w:ascii="宋体" w:hAnsi="宋体" w:hint="eastAsia"/>
                <w:iCs/>
                <w:sz w:val="24"/>
              </w:rPr>
              <w:t>懿</w:t>
            </w:r>
            <w:r>
              <w:rPr>
                <w:rStyle w:val="style4097"/>
                <w:rFonts w:ascii="宋体" w:hAnsi="宋体" w:hint="eastAsia"/>
                <w:iCs/>
                <w:sz w:val="24"/>
              </w:rPr>
              <w:t>资本</w:t>
            </w:r>
          </w:p>
          <w:p>
            <w:pPr>
              <w:pStyle w:val="style0"/>
              <w:spacing w:lineRule="atLeast" w:line="480"/>
              <w:ind w:firstLine="480" w:firstLineChars="200"/>
              <w:rPr>
                <w:rStyle w:val="style4097"/>
                <w:rFonts w:ascii="宋体" w:hAnsi="宋体" w:hint="eastAsia"/>
                <w:iCs/>
                <w:sz w:val="24"/>
              </w:rPr>
            </w:pPr>
            <w:r>
              <w:rPr>
                <w:rStyle w:val="style4097"/>
                <w:rFonts w:ascii="宋体" w:hAnsi="宋体" w:hint="eastAsia"/>
                <w:iCs/>
                <w:sz w:val="24"/>
              </w:rPr>
              <w:t xml:space="preserve">国金医药  </w:t>
            </w:r>
            <w:r>
              <w:rPr>
                <w:rStyle w:val="style4097"/>
                <w:rFonts w:ascii="宋体" w:hAnsi="宋体" w:hint="eastAsia"/>
                <w:iCs/>
                <w:sz w:val="24"/>
              </w:rPr>
              <w:t>翊安资产</w:t>
            </w:r>
            <w:r>
              <w:rPr>
                <w:rStyle w:val="style4097"/>
                <w:rFonts w:ascii="宋体" w:hAnsi="宋体" w:hint="eastAsia"/>
                <w:iCs/>
                <w:sz w:val="24"/>
              </w:rPr>
              <w:t xml:space="preserve">  </w:t>
            </w:r>
            <w:r>
              <w:rPr>
                <w:rStyle w:val="style4097"/>
                <w:rFonts w:ascii="宋体" w:hAnsi="宋体" w:hint="eastAsia"/>
                <w:iCs/>
                <w:sz w:val="24"/>
              </w:rPr>
              <w:t>民加投资</w:t>
            </w:r>
            <w:r>
              <w:rPr>
                <w:rStyle w:val="style4097"/>
                <w:rFonts w:ascii="宋体" w:hAnsi="宋体" w:hint="eastAsia"/>
                <w:iCs/>
                <w:sz w:val="24"/>
              </w:rPr>
              <w:t xml:space="preserve">  </w:t>
            </w:r>
            <w:r>
              <w:rPr>
                <w:rStyle w:val="style4097"/>
                <w:rFonts w:ascii="宋体" w:hAnsi="宋体" w:hint="eastAsia"/>
                <w:iCs/>
                <w:sz w:val="24"/>
              </w:rPr>
              <w:t>泰康保险</w:t>
            </w:r>
          </w:p>
          <w:p>
            <w:pPr>
              <w:pStyle w:val="style0"/>
              <w:spacing w:lineRule="atLeast" w:line="480"/>
              <w:ind w:firstLine="480" w:firstLineChars="200"/>
              <w:rPr>
                <w:rStyle w:val="style4097"/>
                <w:rFonts w:ascii="宋体" w:hAnsi="宋体" w:hint="eastAsia"/>
                <w:iCs/>
                <w:sz w:val="24"/>
              </w:rPr>
            </w:pPr>
            <w:r>
              <w:rPr>
                <w:rStyle w:val="style4097"/>
                <w:rFonts w:ascii="宋体" w:hAnsi="宋体" w:hint="eastAsia"/>
                <w:iCs/>
                <w:sz w:val="24"/>
              </w:rPr>
              <w:t>朴道资本</w:t>
            </w:r>
            <w:r>
              <w:rPr>
                <w:rStyle w:val="style4097"/>
                <w:rFonts w:ascii="宋体" w:hAnsi="宋体" w:hint="eastAsia"/>
                <w:iCs/>
                <w:sz w:val="24"/>
              </w:rPr>
              <w:t xml:space="preserve">  </w:t>
            </w:r>
            <w:r>
              <w:rPr>
                <w:rStyle w:val="style4097"/>
                <w:rFonts w:ascii="宋体" w:hAnsi="宋体" w:hint="eastAsia"/>
                <w:iCs/>
                <w:sz w:val="24"/>
              </w:rPr>
              <w:t>光大自营</w:t>
            </w:r>
            <w:r>
              <w:rPr>
                <w:rStyle w:val="style4097"/>
                <w:rFonts w:ascii="宋体" w:hAnsi="宋体" w:hint="eastAsia"/>
                <w:iCs/>
                <w:sz w:val="24"/>
              </w:rPr>
              <w:t xml:space="preserve">  </w:t>
            </w:r>
            <w:r>
              <w:rPr>
                <w:rStyle w:val="style4097"/>
                <w:rFonts w:ascii="宋体" w:hAnsi="宋体" w:hint="eastAsia"/>
                <w:iCs/>
                <w:sz w:val="24"/>
              </w:rPr>
              <w:t>重阳投资</w:t>
            </w:r>
            <w:r>
              <w:rPr>
                <w:rStyle w:val="style4097"/>
                <w:rFonts w:ascii="宋体" w:hAnsi="宋体" w:hint="eastAsia"/>
                <w:iCs/>
                <w:sz w:val="24"/>
              </w:rPr>
              <w:t xml:space="preserve">  </w:t>
            </w:r>
            <w:r>
              <w:rPr>
                <w:rStyle w:val="style4097"/>
                <w:rFonts w:ascii="宋体" w:hAnsi="宋体" w:hint="eastAsia"/>
                <w:iCs/>
                <w:sz w:val="24"/>
              </w:rPr>
              <w:t>景林资产</w:t>
            </w:r>
          </w:p>
          <w:p>
            <w:pPr>
              <w:pStyle w:val="style0"/>
              <w:spacing w:lineRule="atLeast" w:line="480"/>
              <w:ind w:firstLine="480" w:firstLineChars="200"/>
              <w:rPr>
                <w:rStyle w:val="style4097"/>
                <w:rFonts w:ascii="宋体" w:hAnsi="宋体" w:hint="eastAsia"/>
                <w:iCs/>
                <w:sz w:val="24"/>
              </w:rPr>
            </w:pPr>
            <w:r>
              <w:rPr>
                <w:rStyle w:val="style4097"/>
                <w:rFonts w:ascii="宋体" w:hAnsi="宋体" w:hint="eastAsia"/>
                <w:iCs/>
                <w:sz w:val="24"/>
              </w:rPr>
              <w:t>睿郡资本</w:t>
            </w:r>
            <w:r>
              <w:rPr>
                <w:rStyle w:val="style4097"/>
                <w:rFonts w:ascii="宋体" w:hAnsi="宋体" w:hint="eastAsia"/>
                <w:iCs/>
                <w:sz w:val="24"/>
              </w:rPr>
              <w:t xml:space="preserve">  </w:t>
            </w:r>
            <w:r>
              <w:rPr>
                <w:rStyle w:val="style4097"/>
                <w:rFonts w:ascii="宋体" w:hAnsi="宋体" w:hint="eastAsia"/>
                <w:iCs/>
                <w:sz w:val="24"/>
              </w:rPr>
              <w:t>华</w:t>
            </w:r>
            <w:r>
              <w:rPr>
                <w:rStyle w:val="style4097"/>
                <w:rFonts w:ascii="宋体" w:hAnsi="宋体" w:hint="eastAsia"/>
                <w:iCs/>
                <w:sz w:val="24"/>
              </w:rPr>
              <w:t>宝基金</w:t>
            </w:r>
            <w:r>
              <w:rPr>
                <w:rStyle w:val="style4097"/>
                <w:rFonts w:ascii="宋体" w:hAnsi="宋体" w:hint="eastAsia"/>
                <w:iCs/>
                <w:sz w:val="24"/>
              </w:rPr>
              <w:t xml:space="preserve">  </w:t>
            </w:r>
            <w:r>
              <w:rPr>
                <w:rStyle w:val="style4097"/>
                <w:rFonts w:ascii="宋体" w:hAnsi="宋体" w:hint="eastAsia"/>
                <w:iCs/>
                <w:sz w:val="24"/>
              </w:rPr>
              <w:t>朴易资本</w:t>
            </w:r>
            <w:r>
              <w:rPr>
                <w:rStyle w:val="style4097"/>
                <w:rFonts w:ascii="宋体" w:hAnsi="宋体" w:hint="eastAsia"/>
                <w:iCs/>
                <w:sz w:val="24"/>
              </w:rPr>
              <w:t xml:space="preserve">  </w:t>
            </w:r>
            <w:r>
              <w:rPr>
                <w:rStyle w:val="style4097"/>
                <w:rFonts w:ascii="宋体" w:hAnsi="宋体" w:hint="eastAsia"/>
                <w:iCs/>
                <w:sz w:val="24"/>
              </w:rPr>
              <w:t>域秀</w:t>
            </w:r>
            <w:r>
              <w:rPr>
                <w:rStyle w:val="style4097"/>
                <w:rFonts w:ascii="宋体" w:hAnsi="宋体" w:hint="eastAsia"/>
                <w:iCs/>
                <w:sz w:val="24"/>
              </w:rPr>
              <w:t>资本</w:t>
            </w:r>
            <w:r>
              <w:rPr>
                <w:rStyle w:val="style4097"/>
                <w:rFonts w:ascii="宋体" w:hAnsi="宋体" w:hint="eastAsia"/>
                <w:iCs/>
                <w:sz w:val="24"/>
              </w:rPr>
              <w:t xml:space="preserve">  </w:t>
            </w:r>
          </w:p>
          <w:p>
            <w:pPr>
              <w:pStyle w:val="style0"/>
              <w:spacing w:lineRule="atLeast" w:line="480"/>
              <w:ind w:firstLine="480" w:firstLineChars="200"/>
              <w:rPr>
                <w:rStyle w:val="style4097"/>
                <w:rFonts w:ascii="宋体" w:hAnsi="宋体" w:hint="eastAsia"/>
                <w:iCs/>
                <w:sz w:val="24"/>
              </w:rPr>
            </w:pPr>
            <w:r>
              <w:rPr>
                <w:rStyle w:val="style4097"/>
                <w:rFonts w:ascii="宋体" w:hAnsi="宋体" w:hint="eastAsia"/>
                <w:iCs/>
                <w:sz w:val="24"/>
              </w:rPr>
              <w:t>西部自营</w:t>
            </w:r>
            <w:r>
              <w:rPr>
                <w:rStyle w:val="style4097"/>
                <w:rFonts w:ascii="宋体" w:hAnsi="宋体" w:hint="eastAsia"/>
                <w:iCs/>
                <w:sz w:val="24"/>
              </w:rPr>
              <w:t xml:space="preserve">  </w:t>
            </w:r>
            <w:r>
              <w:rPr>
                <w:rStyle w:val="style4097"/>
                <w:rFonts w:ascii="宋体" w:hAnsi="宋体" w:hint="eastAsia"/>
                <w:iCs/>
                <w:sz w:val="24"/>
              </w:rPr>
              <w:t>紫</w:t>
            </w:r>
            <w:r>
              <w:rPr>
                <w:rStyle w:val="style4097"/>
                <w:rFonts w:ascii="宋体" w:hAnsi="宋体" w:hint="eastAsia"/>
                <w:iCs/>
                <w:sz w:val="24"/>
              </w:rPr>
              <w:t>阁投资</w:t>
            </w:r>
            <w:r>
              <w:rPr>
                <w:rStyle w:val="style4097"/>
                <w:rFonts w:ascii="宋体" w:hAnsi="宋体" w:hint="eastAsia"/>
                <w:iCs/>
                <w:sz w:val="24"/>
              </w:rPr>
              <w:t xml:space="preserve">  </w:t>
            </w:r>
            <w:r>
              <w:rPr>
                <w:rStyle w:val="style4097"/>
                <w:rFonts w:ascii="宋体" w:hAnsi="宋体" w:hint="eastAsia"/>
                <w:iCs/>
                <w:sz w:val="24"/>
              </w:rPr>
              <w:t>南方基金</w:t>
            </w:r>
            <w:r>
              <w:rPr>
                <w:rStyle w:val="style4097"/>
                <w:rFonts w:ascii="宋体" w:hAnsi="宋体" w:hint="eastAsia"/>
                <w:iCs/>
                <w:sz w:val="24"/>
              </w:rPr>
              <w:t xml:space="preserve">  </w:t>
            </w:r>
            <w:r>
              <w:rPr>
                <w:rStyle w:val="style4097"/>
                <w:rFonts w:ascii="宋体" w:hAnsi="宋体" w:hint="eastAsia"/>
                <w:iCs/>
                <w:sz w:val="24"/>
              </w:rPr>
              <w:t>杭州汇升</w:t>
            </w:r>
            <w:r>
              <w:rPr>
                <w:rStyle w:val="style4097"/>
                <w:rFonts w:ascii="宋体" w:hAnsi="宋体" w:hint="eastAsia"/>
                <w:iCs/>
                <w:sz w:val="24"/>
              </w:rPr>
              <w:t xml:space="preserve">  </w:t>
            </w:r>
          </w:p>
          <w:p>
            <w:pPr>
              <w:pStyle w:val="style0"/>
              <w:spacing w:lineRule="atLeast" w:line="480"/>
              <w:ind w:firstLine="480" w:firstLineChars="200"/>
              <w:rPr>
                <w:rStyle w:val="style4097"/>
                <w:rFonts w:ascii="宋体" w:hAnsi="宋体" w:hint="eastAsia"/>
                <w:iCs/>
                <w:sz w:val="24"/>
              </w:rPr>
            </w:pPr>
            <w:r>
              <w:rPr>
                <w:rStyle w:val="style4097"/>
                <w:rFonts w:ascii="宋体" w:hAnsi="宋体" w:hint="eastAsia"/>
                <w:iCs/>
                <w:sz w:val="24"/>
              </w:rPr>
              <w:t>高信</w:t>
            </w:r>
            <w:r>
              <w:rPr>
                <w:rStyle w:val="style4097"/>
                <w:rFonts w:ascii="宋体" w:hAnsi="宋体" w:hint="eastAsia"/>
                <w:iCs/>
                <w:sz w:val="24"/>
              </w:rPr>
              <w:t>百诺</w:t>
            </w:r>
            <w:r>
              <w:rPr>
                <w:rStyle w:val="style4097"/>
                <w:rFonts w:ascii="宋体" w:hAnsi="宋体" w:hint="eastAsia"/>
                <w:iCs/>
                <w:sz w:val="24"/>
              </w:rPr>
              <w:t xml:space="preserve">  </w:t>
            </w:r>
            <w:r>
              <w:rPr>
                <w:rStyle w:val="style4097"/>
                <w:rFonts w:ascii="宋体" w:hAnsi="宋体" w:hint="eastAsia"/>
                <w:iCs/>
                <w:sz w:val="24"/>
              </w:rPr>
              <w:t>鼎锋资本</w:t>
            </w:r>
            <w:r>
              <w:rPr>
                <w:rStyle w:val="style4097"/>
                <w:rFonts w:ascii="宋体" w:hAnsi="宋体" w:hint="eastAsia"/>
                <w:iCs/>
                <w:sz w:val="24"/>
              </w:rPr>
              <w:t xml:space="preserve">  </w:t>
            </w:r>
            <w:r>
              <w:rPr>
                <w:rStyle w:val="style4097"/>
                <w:rFonts w:ascii="宋体" w:hAnsi="宋体" w:hint="eastAsia"/>
                <w:iCs/>
                <w:sz w:val="24"/>
              </w:rPr>
              <w:t>大成资本</w:t>
            </w:r>
            <w:r>
              <w:rPr>
                <w:rStyle w:val="style4097"/>
                <w:rFonts w:ascii="宋体" w:hAnsi="宋体" w:hint="eastAsia"/>
                <w:iCs/>
                <w:sz w:val="24"/>
              </w:rPr>
              <w:t xml:space="preserve">  </w:t>
            </w:r>
            <w:r>
              <w:rPr>
                <w:rStyle w:val="style4097"/>
                <w:rFonts w:ascii="宋体" w:hAnsi="宋体" w:hint="eastAsia"/>
                <w:iCs/>
                <w:sz w:val="24"/>
              </w:rPr>
              <w:t>华泰保兴</w:t>
            </w:r>
            <w:r>
              <w:rPr>
                <w:rStyle w:val="style4097"/>
                <w:rFonts w:ascii="宋体" w:hAnsi="宋体" w:hint="eastAsia"/>
                <w:iCs/>
                <w:sz w:val="24"/>
              </w:rPr>
              <w:t xml:space="preserve">  </w:t>
            </w:r>
          </w:p>
          <w:p>
            <w:pPr>
              <w:pStyle w:val="style0"/>
              <w:spacing w:lineRule="atLeast" w:line="480"/>
              <w:ind w:firstLine="480" w:firstLineChars="200"/>
              <w:rPr>
                <w:rStyle w:val="style4097"/>
                <w:rFonts w:ascii="宋体" w:hAnsi="宋体" w:hint="eastAsia"/>
                <w:iCs/>
                <w:sz w:val="24"/>
              </w:rPr>
            </w:pPr>
            <w:r>
              <w:rPr>
                <w:rStyle w:val="style4097"/>
                <w:rFonts w:ascii="宋体" w:hAnsi="宋体" w:hint="eastAsia"/>
                <w:iCs/>
                <w:sz w:val="24"/>
              </w:rPr>
              <w:t>招银理财</w:t>
            </w:r>
            <w:r>
              <w:rPr>
                <w:rStyle w:val="style4097"/>
                <w:rFonts w:ascii="宋体" w:hAnsi="宋体" w:hint="eastAsia"/>
                <w:iCs/>
                <w:sz w:val="24"/>
              </w:rPr>
              <w:t xml:space="preserve">  </w:t>
            </w:r>
            <w:r>
              <w:rPr>
                <w:rStyle w:val="style4097"/>
                <w:rFonts w:ascii="宋体" w:hAnsi="宋体" w:hint="eastAsia"/>
                <w:iCs/>
                <w:sz w:val="24"/>
              </w:rPr>
              <w:t>礼</w:t>
            </w:r>
            <w:r>
              <w:rPr>
                <w:rStyle w:val="style4097"/>
                <w:rFonts w:ascii="宋体" w:hAnsi="宋体" w:hint="eastAsia"/>
                <w:iCs/>
                <w:sz w:val="24"/>
              </w:rPr>
              <w:t>正资本</w:t>
            </w:r>
            <w:r>
              <w:rPr>
                <w:rStyle w:val="style4097"/>
                <w:rFonts w:ascii="宋体" w:hAnsi="宋体" w:hint="eastAsia"/>
                <w:iCs/>
                <w:sz w:val="24"/>
              </w:rPr>
              <w:t xml:space="preserve">  </w:t>
            </w:r>
            <w:r>
              <w:rPr>
                <w:rStyle w:val="style4097"/>
                <w:rFonts w:ascii="宋体" w:hAnsi="宋体" w:hint="eastAsia"/>
                <w:iCs/>
                <w:sz w:val="24"/>
              </w:rPr>
              <w:t>益尚投资</w:t>
            </w:r>
            <w:r>
              <w:rPr>
                <w:rStyle w:val="style4097"/>
                <w:rFonts w:ascii="宋体" w:hAnsi="宋体" w:hint="eastAsia"/>
                <w:iCs/>
                <w:sz w:val="24"/>
              </w:rPr>
              <w:t xml:space="preserve">  </w:t>
            </w:r>
            <w:r>
              <w:rPr>
                <w:rStyle w:val="style4097"/>
                <w:rFonts w:ascii="宋体" w:hAnsi="宋体" w:hint="eastAsia"/>
                <w:iCs/>
                <w:sz w:val="24"/>
              </w:rPr>
              <w:t>国投瑞银</w:t>
            </w:r>
            <w:r>
              <w:rPr>
                <w:rStyle w:val="style4097"/>
                <w:rFonts w:ascii="宋体" w:hAnsi="宋体" w:hint="eastAsia"/>
                <w:iCs/>
                <w:sz w:val="24"/>
              </w:rPr>
              <w:t xml:space="preserve">  </w:t>
            </w:r>
          </w:p>
          <w:p>
            <w:pPr>
              <w:pStyle w:val="style0"/>
              <w:spacing w:lineRule="atLeast" w:line="480"/>
              <w:ind w:firstLine="480" w:firstLineChars="200"/>
              <w:rPr>
                <w:rStyle w:val="style4097"/>
                <w:rFonts w:ascii="宋体" w:hAnsi="宋体" w:hint="eastAsia"/>
                <w:iCs/>
                <w:sz w:val="24"/>
              </w:rPr>
            </w:pPr>
            <w:r>
              <w:rPr>
                <w:rStyle w:val="style4097"/>
                <w:rFonts w:ascii="宋体" w:hAnsi="宋体" w:hint="eastAsia"/>
                <w:iCs/>
                <w:sz w:val="24"/>
              </w:rPr>
              <w:t>中</w:t>
            </w:r>
            <w:r>
              <w:rPr>
                <w:rStyle w:val="style4097"/>
                <w:rFonts w:ascii="宋体" w:hAnsi="宋体" w:hint="eastAsia"/>
                <w:iCs/>
                <w:sz w:val="24"/>
              </w:rPr>
              <w:t>泰资管</w:t>
            </w:r>
            <w:r>
              <w:rPr>
                <w:rStyle w:val="style4097"/>
                <w:rFonts w:ascii="宋体" w:hAnsi="宋体" w:hint="eastAsia"/>
                <w:iCs/>
                <w:sz w:val="24"/>
              </w:rPr>
              <w:t xml:space="preserve">  </w:t>
            </w:r>
            <w:r>
              <w:rPr>
                <w:rStyle w:val="style4097"/>
                <w:rFonts w:ascii="宋体" w:hAnsi="宋体" w:hint="eastAsia"/>
                <w:iCs/>
                <w:sz w:val="24"/>
              </w:rPr>
              <w:t>牧毅资产</w:t>
            </w:r>
            <w:r>
              <w:rPr>
                <w:rStyle w:val="style4097"/>
                <w:rFonts w:ascii="宋体" w:hAnsi="宋体" w:hint="eastAsia"/>
                <w:iCs/>
                <w:sz w:val="24"/>
              </w:rPr>
              <w:t xml:space="preserve">  </w:t>
            </w:r>
            <w:r>
              <w:rPr>
                <w:rStyle w:val="style4097"/>
                <w:rFonts w:ascii="宋体" w:hAnsi="宋体" w:hint="eastAsia"/>
                <w:iCs/>
                <w:sz w:val="24"/>
              </w:rPr>
              <w:t>三</w:t>
            </w:r>
            <w:r>
              <w:rPr>
                <w:rStyle w:val="style4097"/>
                <w:rFonts w:ascii="宋体" w:hAnsi="宋体" w:hint="eastAsia"/>
                <w:iCs/>
                <w:sz w:val="24"/>
              </w:rPr>
              <w:t>登投资</w:t>
            </w:r>
            <w:r>
              <w:rPr>
                <w:rStyle w:val="style4097"/>
                <w:rFonts w:ascii="宋体" w:hAnsi="宋体" w:hint="eastAsia"/>
                <w:iCs/>
                <w:sz w:val="24"/>
              </w:rPr>
              <w:t xml:space="preserve">  </w:t>
            </w:r>
            <w:r>
              <w:rPr>
                <w:rStyle w:val="style4097"/>
                <w:rFonts w:ascii="宋体" w:hAnsi="宋体" w:hint="eastAsia"/>
                <w:iCs/>
                <w:sz w:val="24"/>
              </w:rPr>
              <w:t>中再资产</w:t>
            </w:r>
            <w:r>
              <w:rPr>
                <w:rStyle w:val="style4097"/>
                <w:rFonts w:ascii="宋体" w:hAnsi="宋体" w:hint="eastAsia"/>
                <w:iCs/>
                <w:sz w:val="24"/>
              </w:rPr>
              <w:t xml:space="preserve">  </w:t>
            </w:r>
          </w:p>
          <w:p>
            <w:pPr>
              <w:pStyle w:val="style0"/>
              <w:spacing w:lineRule="atLeast" w:line="480"/>
              <w:ind w:firstLine="480" w:firstLineChars="200"/>
              <w:rPr>
                <w:rStyle w:val="style4097"/>
                <w:rFonts w:ascii="宋体" w:hAnsi="宋体"/>
                <w:iCs/>
                <w:sz w:val="24"/>
              </w:rPr>
            </w:pPr>
            <w:r>
              <w:rPr>
                <w:rStyle w:val="style4097"/>
                <w:rFonts w:ascii="宋体" w:hAnsi="宋体" w:hint="eastAsia"/>
                <w:iCs/>
                <w:sz w:val="24"/>
              </w:rPr>
              <w:t>人保养老</w:t>
            </w:r>
            <w:r>
              <w:rPr>
                <w:rStyle w:val="style4097"/>
                <w:rFonts w:ascii="宋体" w:hAnsi="宋体" w:hint="eastAsia"/>
                <w:iCs/>
                <w:sz w:val="24"/>
              </w:rPr>
              <w:t xml:space="preserve">  </w:t>
            </w:r>
            <w:r>
              <w:rPr>
                <w:rStyle w:val="style4097"/>
                <w:rFonts w:ascii="宋体" w:hAnsi="宋体"/>
                <w:iCs/>
                <w:sz w:val="24"/>
              </w:rPr>
              <w:t>Willing Capital</w:t>
            </w:r>
          </w:p>
          <w:p>
            <w:pPr>
              <w:pStyle w:val="style0"/>
              <w:spacing w:lineRule="atLeast" w:line="480"/>
              <w:rPr>
                <w:rStyle w:val="style4097"/>
                <w:rFonts w:ascii="宋体" w:hAnsi="宋体"/>
                <w:iCs/>
                <w:sz w:val="24"/>
              </w:rPr>
            </w:pPr>
          </w:p>
        </w:tc>
      </w:tr>
      <w:tr>
        <w:tblPrEx/>
        <w:trPr/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tLeast" w:line="480"/>
              <w:rPr>
                <w:rStyle w:val="style4097"/>
                <w:rFonts w:ascii="宋体" w:hAnsi="宋体"/>
                <w:b/>
                <w:bCs/>
                <w:iCs/>
                <w:sz w:val="24"/>
              </w:rPr>
            </w:pPr>
            <w:r>
              <w:rPr>
                <w:rStyle w:val="style4097"/>
                <w:rFonts w:ascii="宋体" w:hAnsi="宋体"/>
                <w:b/>
                <w:bCs/>
                <w:iCs/>
                <w:sz w:val="24"/>
              </w:rPr>
              <w:t>时间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tLeast" w:line="480"/>
              <w:rPr>
                <w:rStyle w:val="style4097"/>
                <w:rFonts w:ascii="宋体" w:hAnsi="宋体"/>
                <w:bCs/>
                <w:iCs/>
                <w:sz w:val="24"/>
              </w:rPr>
            </w:pPr>
            <w:r>
              <w:rPr>
                <w:rStyle w:val="style4097"/>
                <w:rFonts w:ascii="宋体" w:hAnsi="宋体"/>
                <w:bCs/>
                <w:iCs/>
                <w:sz w:val="24"/>
              </w:rPr>
              <w:t>20</w:t>
            </w:r>
            <w:r>
              <w:rPr>
                <w:rStyle w:val="style4097"/>
                <w:rFonts w:ascii="宋体" w:hAnsi="宋体" w:hint="eastAsia"/>
                <w:bCs/>
                <w:iCs/>
                <w:sz w:val="24"/>
              </w:rPr>
              <w:t>21</w:t>
            </w:r>
            <w:r>
              <w:rPr>
                <w:rStyle w:val="style4097"/>
                <w:rFonts w:ascii="宋体" w:hAnsi="宋体"/>
                <w:bCs/>
                <w:iCs/>
                <w:sz w:val="24"/>
              </w:rPr>
              <w:t>年</w:t>
            </w:r>
            <w:r>
              <w:rPr>
                <w:rStyle w:val="style4097"/>
                <w:rFonts w:ascii="宋体" w:hAnsi="宋体" w:hint="eastAsia"/>
                <w:bCs/>
                <w:iCs/>
                <w:sz w:val="24"/>
              </w:rPr>
              <w:t>12</w:t>
            </w:r>
            <w:r>
              <w:rPr>
                <w:rStyle w:val="style4097"/>
                <w:rFonts w:ascii="宋体" w:hAnsi="宋体"/>
                <w:bCs/>
                <w:iCs/>
                <w:sz w:val="24"/>
              </w:rPr>
              <w:t>月</w:t>
            </w:r>
            <w:r>
              <w:rPr>
                <w:rStyle w:val="style4097"/>
                <w:rFonts w:ascii="宋体" w:hAnsi="宋体" w:hint="eastAsia"/>
                <w:bCs/>
                <w:iCs/>
                <w:sz w:val="24"/>
              </w:rPr>
              <w:t>1</w:t>
            </w:r>
            <w:r>
              <w:rPr>
                <w:rStyle w:val="style4097"/>
                <w:rFonts w:ascii="宋体" w:hAnsi="宋体"/>
                <w:bCs/>
                <w:iCs/>
                <w:sz w:val="24"/>
              </w:rPr>
              <w:t>日</w:t>
            </w:r>
            <w:r>
              <w:rPr>
                <w:rStyle w:val="style4097"/>
                <w:rFonts w:ascii="宋体" w:hAnsi="宋体" w:hint="eastAsia"/>
                <w:bCs/>
                <w:iCs/>
                <w:sz w:val="24"/>
              </w:rPr>
              <w:t>下午13:30-15:00（现场会议）</w:t>
            </w:r>
          </w:p>
          <w:p>
            <w:pPr>
              <w:pStyle w:val="style0"/>
              <w:spacing w:lineRule="atLeast" w:line="480"/>
              <w:rPr>
                <w:rStyle w:val="style4097"/>
                <w:rFonts w:ascii="宋体" w:hAnsi="宋体"/>
                <w:bCs/>
                <w:iCs/>
                <w:sz w:val="24"/>
              </w:rPr>
            </w:pPr>
            <w:r>
              <w:rPr>
                <w:rStyle w:val="style4097"/>
                <w:rFonts w:ascii="宋体" w:hAnsi="宋体"/>
                <w:bCs/>
                <w:iCs/>
                <w:sz w:val="24"/>
              </w:rPr>
              <w:t>20</w:t>
            </w:r>
            <w:r>
              <w:rPr>
                <w:rStyle w:val="style4097"/>
                <w:rFonts w:ascii="宋体" w:hAnsi="宋体" w:hint="eastAsia"/>
                <w:bCs/>
                <w:iCs/>
                <w:sz w:val="24"/>
              </w:rPr>
              <w:t>21</w:t>
            </w:r>
            <w:r>
              <w:rPr>
                <w:rStyle w:val="style4097"/>
                <w:rFonts w:ascii="宋体" w:hAnsi="宋体"/>
                <w:bCs/>
                <w:iCs/>
                <w:sz w:val="24"/>
              </w:rPr>
              <w:t>年</w:t>
            </w:r>
            <w:r>
              <w:rPr>
                <w:rStyle w:val="style4097"/>
                <w:rFonts w:ascii="宋体" w:hAnsi="宋体" w:hint="eastAsia"/>
                <w:bCs/>
                <w:iCs/>
                <w:sz w:val="24"/>
              </w:rPr>
              <w:t>12</w:t>
            </w:r>
            <w:r>
              <w:rPr>
                <w:rStyle w:val="style4097"/>
                <w:rFonts w:ascii="宋体" w:hAnsi="宋体"/>
                <w:bCs/>
                <w:iCs/>
                <w:sz w:val="24"/>
              </w:rPr>
              <w:t>月</w:t>
            </w:r>
            <w:r>
              <w:rPr>
                <w:rStyle w:val="style4097"/>
                <w:rFonts w:ascii="宋体" w:hAnsi="宋体" w:hint="eastAsia"/>
                <w:bCs/>
                <w:iCs/>
                <w:sz w:val="24"/>
              </w:rPr>
              <w:t>1</w:t>
            </w:r>
            <w:r>
              <w:rPr>
                <w:rStyle w:val="style4097"/>
                <w:rFonts w:ascii="宋体" w:hAnsi="宋体"/>
                <w:bCs/>
                <w:iCs/>
                <w:sz w:val="24"/>
              </w:rPr>
              <w:t>日</w:t>
            </w:r>
            <w:r>
              <w:rPr>
                <w:rStyle w:val="style4097"/>
                <w:rFonts w:ascii="宋体" w:hAnsi="宋体" w:hint="eastAsia"/>
                <w:bCs/>
                <w:iCs/>
                <w:sz w:val="24"/>
              </w:rPr>
              <w:t>下午15:00-16:00（电话会议）</w:t>
            </w:r>
          </w:p>
        </w:tc>
      </w:tr>
      <w:tr>
        <w:tblPrEx/>
        <w:trPr/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tLeast" w:line="480"/>
              <w:rPr>
                <w:rStyle w:val="style4097"/>
                <w:rFonts w:ascii="宋体" w:hAnsi="宋体"/>
                <w:b/>
                <w:bCs/>
                <w:iCs/>
                <w:sz w:val="24"/>
              </w:rPr>
            </w:pPr>
            <w:r>
              <w:rPr>
                <w:rStyle w:val="style4097"/>
                <w:rFonts w:ascii="宋体" w:hAnsi="宋体"/>
                <w:b/>
                <w:bCs/>
                <w:iCs/>
                <w:sz w:val="24"/>
              </w:rPr>
              <w:t>地点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tLeast" w:line="480"/>
              <w:rPr>
                <w:rStyle w:val="style4097"/>
                <w:rFonts w:ascii="宋体" w:hAnsi="宋体"/>
                <w:bCs/>
                <w:iCs/>
                <w:sz w:val="24"/>
              </w:rPr>
            </w:pPr>
            <w:r>
              <w:rPr>
                <w:rStyle w:val="style4097"/>
                <w:rFonts w:ascii="宋体" w:hAnsi="宋体"/>
                <w:bCs/>
                <w:iCs/>
                <w:sz w:val="24"/>
              </w:rPr>
              <w:t>浙江仙琚制药股份有限公司会议室</w:t>
            </w:r>
          </w:p>
        </w:tc>
      </w:tr>
      <w:tr>
        <w:tblPrEx/>
        <w:trPr/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tLeast" w:line="480"/>
              <w:rPr>
                <w:rStyle w:val="style4097"/>
                <w:rFonts w:ascii="宋体" w:hAnsi="宋体"/>
                <w:b/>
                <w:bCs/>
                <w:iCs/>
                <w:sz w:val="24"/>
              </w:rPr>
            </w:pPr>
            <w:r>
              <w:rPr>
                <w:rStyle w:val="style4097"/>
                <w:rFonts w:ascii="宋体" w:hAnsi="宋体"/>
                <w:b/>
                <w:bCs/>
                <w:iCs/>
                <w:sz w:val="24"/>
              </w:rPr>
              <w:t>上市公司接待人员姓名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tLeast" w:line="480"/>
              <w:rPr>
                <w:rStyle w:val="style4097"/>
                <w:rFonts w:ascii="宋体" w:hAnsi="宋体"/>
                <w:bCs/>
                <w:iCs/>
                <w:sz w:val="24"/>
              </w:rPr>
            </w:pPr>
            <w:r>
              <w:rPr>
                <w:rStyle w:val="style4097"/>
                <w:rFonts w:ascii="宋体" w:hAnsi="宋体"/>
                <w:bCs/>
                <w:iCs/>
                <w:sz w:val="24"/>
              </w:rPr>
              <w:t>董事会秘书    张王伟</w:t>
            </w:r>
          </w:p>
          <w:p>
            <w:pPr>
              <w:pStyle w:val="style0"/>
              <w:spacing w:lineRule="atLeast" w:line="480"/>
              <w:rPr>
                <w:rStyle w:val="style4097"/>
                <w:rFonts w:ascii="宋体" w:hAnsi="宋体"/>
                <w:bCs/>
                <w:iCs/>
                <w:sz w:val="24"/>
              </w:rPr>
            </w:pPr>
            <w:r>
              <w:rPr>
                <w:rStyle w:val="style4097"/>
                <w:rFonts w:ascii="宋体" w:hAnsi="宋体"/>
                <w:bCs/>
                <w:iCs/>
                <w:sz w:val="24"/>
              </w:rPr>
              <w:t xml:space="preserve">证券事务代表  </w:t>
            </w:r>
            <w:r>
              <w:rPr>
                <w:rStyle w:val="style4097"/>
                <w:rFonts w:ascii="宋体" w:hAnsi="宋体" w:hint="eastAsia"/>
                <w:bCs/>
                <w:iCs/>
                <w:sz w:val="24"/>
              </w:rPr>
              <w:t>沈旭红</w:t>
            </w:r>
          </w:p>
        </w:tc>
      </w:tr>
      <w:tr>
        <w:tblPrEx/>
        <w:trPr>
          <w:trHeight w:val="230" w:hRule="atLeast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tLeast" w:line="480"/>
              <w:rPr>
                <w:rStyle w:val="style4097"/>
                <w:rFonts w:ascii="宋体" w:hAnsi="宋体"/>
                <w:b/>
                <w:bCs/>
                <w:iCs/>
                <w:sz w:val="24"/>
              </w:rPr>
            </w:pPr>
            <w:r>
              <w:rPr>
                <w:rStyle w:val="style4097"/>
                <w:rFonts w:ascii="宋体" w:hAnsi="宋体"/>
                <w:b/>
                <w:bCs/>
                <w:iCs/>
                <w:sz w:val="24"/>
              </w:rPr>
              <w:t>投资者关系活动主要内容介绍</w:t>
            </w:r>
          </w:p>
          <w:p>
            <w:pPr>
              <w:pStyle w:val="style0"/>
              <w:spacing w:lineRule="atLeast" w:line="480"/>
              <w:rPr>
                <w:rStyle w:val="style4097"/>
                <w:rFonts w:ascii="宋体" w:hAnsi="宋体"/>
                <w:b/>
                <w:bCs/>
                <w:iCs/>
                <w:sz w:val="24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360"/>
              <w:ind w:firstLine="482" w:firstLineChars="200"/>
              <w:jc w:val="left"/>
              <w:rPr>
                <w:rFonts w:ascii="宋体" w:cs="宋体" w:hAnsi="宋体"/>
                <w:b/>
                <w:bCs/>
                <w:iCs/>
                <w:sz w:val="24"/>
              </w:rPr>
            </w:pPr>
            <w:r>
              <w:rPr>
                <w:rFonts w:ascii="宋体" w:cs="宋体" w:hAnsi="宋体" w:hint="eastAsia"/>
                <w:b/>
                <w:bCs/>
                <w:iCs/>
                <w:sz w:val="24"/>
              </w:rPr>
              <w:t>1、公司业绩基本面</w:t>
            </w:r>
          </w:p>
          <w:p>
            <w:pPr>
              <w:pStyle w:val="style0"/>
              <w:spacing w:lineRule="auto" w:line="360"/>
              <w:ind w:firstLine="480" w:firstLineChars="200"/>
              <w:jc w:val="left"/>
              <w:rPr>
                <w:rFonts w:ascii="宋体" w:cs="宋体" w:eastAsia="宋体" w:hAnsi="宋体"/>
                <w:sz w:val="24"/>
              </w:rPr>
            </w:pPr>
            <w:r>
              <w:rPr>
                <w:rFonts w:ascii="宋体" w:cs="宋体" w:eastAsia="宋体" w:hAnsi="宋体" w:hint="eastAsia"/>
                <w:sz w:val="24"/>
              </w:rPr>
              <w:t>公司近五年来</w:t>
            </w:r>
            <w:r>
              <w:rPr>
                <w:rStyle w:val="style4097"/>
                <w:rFonts w:ascii="宋体" w:hAnsi="宋体" w:hint="eastAsia"/>
                <w:kern w:val="0"/>
                <w:sz w:val="24"/>
              </w:rPr>
              <w:t>取得了较好的经营业绩，</w:t>
            </w:r>
            <w:r>
              <w:rPr>
                <w:rFonts w:ascii="宋体" w:cs="宋体" w:eastAsia="宋体" w:hAnsi="宋体" w:hint="eastAsia"/>
                <w:sz w:val="24"/>
              </w:rPr>
              <w:t>连续27个季度保持扎实稳定的增长，稳健业绩背后的底层逻辑是公司数十年时间积累的产业链优势，公司产品结构优、韧性强。</w:t>
            </w:r>
          </w:p>
          <w:p>
            <w:pPr>
              <w:pStyle w:val="style0"/>
              <w:spacing w:lineRule="auto" w:line="360"/>
              <w:ind w:firstLine="480" w:firstLineChars="200"/>
              <w:jc w:val="left"/>
              <w:rPr>
                <w:rFonts w:ascii="宋体" w:cs="宋体" w:eastAsia="宋体" w:hAnsi="宋体"/>
                <w:sz w:val="24"/>
              </w:rPr>
            </w:pPr>
            <w:r>
              <w:rPr>
                <w:rFonts w:ascii="宋体" w:cs="宋体" w:eastAsia="宋体" w:hAnsi="宋体" w:hint="eastAsia"/>
                <w:sz w:val="24"/>
              </w:rPr>
              <w:t>公司未来将持续聚焦</w:t>
            </w:r>
            <w:r>
              <w:rPr>
                <w:rFonts w:ascii="宋体" w:cs="宋体" w:eastAsia="宋体" w:hAnsi="宋体" w:hint="eastAsia"/>
                <w:sz w:val="24"/>
              </w:rPr>
              <w:t>甾</w:t>
            </w:r>
            <w:r>
              <w:rPr>
                <w:rFonts w:ascii="宋体" w:cs="宋体" w:eastAsia="宋体" w:hAnsi="宋体" w:hint="eastAsia"/>
                <w:sz w:val="24"/>
              </w:rPr>
              <w:t>体激素赛道，扎扎实实的在</w:t>
            </w:r>
            <w:r>
              <w:rPr>
                <w:rFonts w:ascii="宋体" w:cs="宋体" w:eastAsia="宋体" w:hAnsi="宋体" w:hint="eastAsia"/>
                <w:sz w:val="24"/>
              </w:rPr>
              <w:t>甾</w:t>
            </w:r>
            <w:r>
              <w:rPr>
                <w:rFonts w:ascii="宋体" w:cs="宋体" w:eastAsia="宋体" w:hAnsi="宋体" w:hint="eastAsia"/>
                <w:sz w:val="24"/>
              </w:rPr>
              <w:t>体</w:t>
            </w:r>
            <w:r>
              <w:rPr>
                <w:rFonts w:ascii="宋体" w:cs="宋体" w:eastAsia="宋体" w:hAnsi="宋体" w:hint="eastAsia"/>
                <w:sz w:val="24"/>
              </w:rPr>
              <w:t>激素这条长坡厚雪的赛道上深耕，不断地向前迈进。</w:t>
            </w:r>
          </w:p>
          <w:p>
            <w:pPr>
              <w:pStyle w:val="style0"/>
              <w:spacing w:lineRule="auto" w:line="360"/>
              <w:ind w:firstLine="482" w:firstLineChars="200"/>
              <w:jc w:val="left"/>
              <w:rPr>
                <w:rFonts w:ascii="宋体" w:cs="宋体" w:hAnsi="宋体"/>
                <w:b/>
                <w:bCs/>
                <w:iCs/>
                <w:sz w:val="24"/>
                <w:lang w:val="zh-CN"/>
              </w:rPr>
            </w:pPr>
            <w:r>
              <w:rPr>
                <w:rFonts w:ascii="宋体" w:cs="宋体" w:hAnsi="宋体" w:hint="eastAsia"/>
                <w:b/>
                <w:bCs/>
                <w:iCs/>
                <w:sz w:val="24"/>
              </w:rPr>
              <w:t>2、</w:t>
            </w:r>
            <w:r>
              <w:rPr>
                <w:rFonts w:ascii="宋体" w:cs="宋体" w:hAnsi="宋体" w:hint="eastAsia"/>
                <w:b/>
                <w:bCs/>
                <w:iCs/>
                <w:sz w:val="24"/>
                <w:lang w:val="zh-CN"/>
              </w:rPr>
              <w:t>公司制剂业务的情况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360"/>
              <w:ind w:firstLine="480" w:firstLineChars="200"/>
              <w:jc w:val="left"/>
              <w:rPr>
                <w:rFonts w:ascii="宋体" w:cs="宋体" w:hAnsi="宋体"/>
                <w:iCs/>
                <w:sz w:val="24"/>
                <w:lang w:val="zh-CN"/>
              </w:rPr>
            </w:pPr>
            <w:r>
              <w:rPr>
                <w:rFonts w:ascii="宋体" w:cs="宋体" w:hAnsi="宋体" w:hint="eastAsia"/>
                <w:iCs/>
                <w:sz w:val="24"/>
                <w:lang w:val="zh-CN"/>
              </w:rPr>
              <w:t>呼吸科产品：今年依然保持了高增长。主要来自于</w:t>
            </w:r>
            <w:r>
              <w:rPr>
                <w:rFonts w:ascii="宋体" w:cs="宋体" w:hAnsi="宋体" w:hint="eastAsia"/>
                <w:iCs/>
                <w:sz w:val="24"/>
                <w:lang w:val="zh-CN"/>
              </w:rPr>
              <w:t>糠酸莫米</w:t>
            </w:r>
            <w:r>
              <w:rPr>
                <w:rFonts w:ascii="宋体" w:cs="宋体" w:hAnsi="宋体" w:hint="eastAsia"/>
                <w:iCs/>
                <w:sz w:val="24"/>
                <w:lang w:val="zh-CN"/>
              </w:rPr>
              <w:t>松鼻喷剂和</w:t>
            </w:r>
            <w:r>
              <w:rPr>
                <w:rFonts w:ascii="宋体" w:cs="宋体" w:hAnsi="宋体" w:hint="eastAsia"/>
                <w:iCs/>
                <w:sz w:val="24"/>
                <w:lang w:val="zh-CN"/>
              </w:rPr>
              <w:t>噻</w:t>
            </w:r>
            <w:r>
              <w:rPr>
                <w:rFonts w:ascii="宋体" w:cs="宋体" w:hAnsi="宋体" w:hint="eastAsia"/>
                <w:iCs/>
                <w:sz w:val="24"/>
                <w:lang w:val="zh-CN"/>
              </w:rPr>
              <w:t>托</w:t>
            </w:r>
            <w:r>
              <w:rPr>
                <w:rFonts w:ascii="宋体" w:cs="宋体" w:hAnsi="宋体" w:hint="eastAsia"/>
                <w:iCs/>
                <w:sz w:val="24"/>
                <w:lang w:val="zh-CN"/>
              </w:rPr>
              <w:t>溴铵粉</w:t>
            </w:r>
            <w:r>
              <w:rPr>
                <w:rFonts w:ascii="宋体" w:cs="宋体" w:hAnsi="宋体" w:hint="eastAsia"/>
                <w:iCs/>
                <w:sz w:val="24"/>
                <w:lang w:val="zh-CN"/>
              </w:rPr>
              <w:t>雾剂两个品种的增长。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360"/>
              <w:ind w:firstLine="480" w:firstLineChars="200"/>
              <w:jc w:val="left"/>
              <w:rPr>
                <w:rFonts w:ascii="宋体" w:cs="宋体" w:hAnsi="宋体"/>
                <w:iCs/>
                <w:sz w:val="24"/>
                <w:lang w:val="zh-CN"/>
              </w:rPr>
            </w:pPr>
            <w:r>
              <w:rPr>
                <w:rFonts w:ascii="宋体" w:cs="宋体" w:hAnsi="宋体" w:hint="eastAsia"/>
                <w:iCs/>
                <w:sz w:val="24"/>
                <w:lang w:val="zh-CN"/>
              </w:rPr>
              <w:t>麻醉肌松产品</w:t>
            </w:r>
            <w:r>
              <w:rPr>
                <w:rFonts w:ascii="宋体" w:cs="宋体" w:hAnsi="宋体" w:hint="eastAsia"/>
                <w:iCs/>
                <w:sz w:val="24"/>
                <w:lang w:val="zh-CN"/>
              </w:rPr>
              <w:t>：罗库溴铵注射液前三季度增长较快，</w:t>
            </w:r>
            <w:r>
              <w:rPr>
                <w:rFonts w:ascii="宋体" w:cs="宋体" w:hAnsi="宋体" w:hint="eastAsia"/>
                <w:iCs/>
                <w:sz w:val="24"/>
                <w:lang w:val="zh-CN"/>
              </w:rPr>
              <w:t>公司首家通过该产品的一致性评价，将来是否列入集采、什么时候列入集</w:t>
            </w:r>
            <w:r>
              <w:rPr>
                <w:rFonts w:ascii="宋体" w:cs="宋体" w:hAnsi="宋体" w:hint="eastAsia"/>
                <w:iCs/>
                <w:sz w:val="24"/>
                <w:lang w:val="zh-CN"/>
              </w:rPr>
              <w:t>采一直</w:t>
            </w:r>
            <w:r>
              <w:rPr>
                <w:rFonts w:ascii="宋体" w:cs="宋体" w:hAnsi="宋体" w:hint="eastAsia"/>
                <w:iCs/>
                <w:sz w:val="24"/>
                <w:lang w:val="zh-CN"/>
              </w:rPr>
              <w:t>是大家关心的问题，</w:t>
            </w:r>
            <w:r>
              <w:rPr>
                <w:rFonts w:ascii="宋体" w:cs="宋体" w:hAnsi="宋体" w:hint="eastAsia"/>
                <w:iCs/>
                <w:sz w:val="24"/>
                <w:lang w:val="zh-CN"/>
              </w:rPr>
              <w:t>目前仍有时间窗口做市场的覆盖和布局。麻醉类的盐酸罗哌卡因注射液，入围第</w:t>
            </w:r>
            <w:r>
              <w:rPr>
                <w:rFonts w:ascii="宋体" w:cs="宋体" w:hAnsi="宋体" w:hint="eastAsia"/>
                <w:iCs/>
                <w:sz w:val="24"/>
              </w:rPr>
              <w:t>5批国家集采</w:t>
            </w:r>
            <w:r>
              <w:rPr>
                <w:rFonts w:ascii="宋体" w:cs="宋体" w:hAnsi="宋体" w:hint="eastAsia"/>
                <w:iCs/>
                <w:sz w:val="24"/>
                <w:lang w:val="zh-CN"/>
              </w:rPr>
              <w:t>，从销售端的反馈来看，销量大幅提升。公司</w:t>
            </w:r>
            <w:r>
              <w:rPr>
                <w:rFonts w:ascii="宋体" w:cs="宋体" w:hAnsi="宋体" w:hint="eastAsia"/>
                <w:iCs/>
                <w:sz w:val="24"/>
                <w:lang w:val="zh-CN"/>
              </w:rPr>
              <w:t>麻醉肌松类</w:t>
            </w:r>
            <w:r>
              <w:rPr>
                <w:rFonts w:ascii="宋体" w:cs="宋体" w:hAnsi="宋体" w:hint="eastAsia"/>
                <w:iCs/>
                <w:sz w:val="24"/>
                <w:lang w:val="zh-CN"/>
              </w:rPr>
              <w:t>原料药集</w:t>
            </w:r>
            <w:r>
              <w:rPr>
                <w:rFonts w:ascii="宋体" w:cs="宋体" w:hAnsi="宋体" w:hint="eastAsia"/>
                <w:iCs/>
                <w:sz w:val="24"/>
                <w:lang w:val="zh-CN"/>
              </w:rPr>
              <w:t>采之前</w:t>
            </w:r>
            <w:r>
              <w:rPr>
                <w:rFonts w:ascii="宋体" w:cs="宋体" w:hAnsi="宋体" w:hint="eastAsia"/>
                <w:iCs/>
                <w:sz w:val="24"/>
                <w:lang w:val="zh-CN"/>
              </w:rPr>
              <w:t>为自用，集采后的此类原料药开始外售，有足够的增长潜力。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360"/>
              <w:ind w:firstLine="480" w:firstLineChars="200"/>
              <w:jc w:val="left"/>
              <w:rPr>
                <w:rFonts w:ascii="宋体" w:cs="宋体" w:hAnsi="宋体"/>
                <w:iCs/>
                <w:sz w:val="24"/>
                <w:lang w:val="zh-CN"/>
              </w:rPr>
            </w:pPr>
            <w:r>
              <w:rPr>
                <w:rFonts w:ascii="宋体" w:cs="宋体" w:hAnsi="宋体" w:hint="eastAsia"/>
                <w:iCs/>
                <w:sz w:val="24"/>
                <w:lang w:val="zh-CN"/>
              </w:rPr>
              <w:t>妇科产品：黄体酮胶囊是公司目前妇科</w:t>
            </w:r>
            <w:r>
              <w:rPr>
                <w:rFonts w:ascii="宋体" w:cs="宋体" w:hAnsi="宋体" w:hint="eastAsia"/>
                <w:iCs/>
                <w:sz w:val="24"/>
                <w:lang w:val="zh-CN"/>
              </w:rPr>
              <w:t>类主力</w:t>
            </w:r>
            <w:r>
              <w:rPr>
                <w:rFonts w:ascii="宋体" w:cs="宋体" w:hAnsi="宋体" w:hint="eastAsia"/>
                <w:iCs/>
                <w:sz w:val="24"/>
                <w:lang w:val="zh-CN"/>
              </w:rPr>
              <w:t>产品，但公司也做了该产品集采后的接力产品储备。黄体酮软胶囊研发顺利推进，黄体酮凝胶准备正式B</w:t>
            </w:r>
            <w:r>
              <w:rPr>
                <w:rFonts w:ascii="宋体" w:cs="宋体" w:hAnsi="宋体"/>
                <w:iCs/>
                <w:sz w:val="24"/>
                <w:lang w:val="zh-CN"/>
              </w:rPr>
              <w:t>E</w:t>
            </w:r>
            <w:r>
              <w:rPr>
                <w:rFonts w:ascii="宋体" w:cs="宋体" w:hAnsi="宋体" w:hint="eastAsia"/>
                <w:iCs/>
                <w:sz w:val="24"/>
                <w:lang w:val="zh-CN"/>
              </w:rPr>
              <w:t>。另外公司开展很多妇科小而美的产品的开发，比如</w:t>
            </w:r>
            <w:r>
              <w:rPr>
                <w:rFonts w:ascii="宋体" w:cs="宋体" w:hAnsi="宋体" w:hint="eastAsia"/>
                <w:iCs/>
                <w:sz w:val="24"/>
                <w:lang w:val="zh-CN"/>
              </w:rPr>
              <w:t>屈螺酮炔</w:t>
            </w:r>
            <w:r>
              <w:rPr>
                <w:rFonts w:ascii="宋体" w:cs="宋体" w:hAnsi="宋体" w:hint="eastAsia"/>
                <w:iCs/>
                <w:sz w:val="24"/>
                <w:lang w:val="zh-CN"/>
              </w:rPr>
              <w:t>䧳醇片、戊酸雌二醇片等。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360"/>
              <w:ind w:firstLine="480" w:firstLineChars="200"/>
              <w:jc w:val="left"/>
              <w:rPr>
                <w:rFonts w:ascii="宋体" w:cs="宋体" w:hAnsi="宋体"/>
                <w:iCs/>
                <w:sz w:val="24"/>
                <w:lang w:val="zh-CN"/>
              </w:rPr>
            </w:pPr>
            <w:r>
              <w:rPr>
                <w:rFonts w:ascii="宋体" w:cs="宋体" w:hAnsi="宋体" w:hint="eastAsia"/>
                <w:iCs/>
                <w:sz w:val="24"/>
                <w:lang w:val="zh-CN"/>
              </w:rPr>
              <w:t>皮肤科产品：主要通过OTC的渠道在做，主要产品</w:t>
            </w:r>
            <w:r>
              <w:rPr>
                <w:rFonts w:ascii="宋体" w:cs="宋体" w:hAnsi="宋体" w:hint="eastAsia"/>
                <w:iCs/>
                <w:sz w:val="24"/>
                <w:lang w:val="zh-CN"/>
              </w:rPr>
              <w:t>糠酸莫米</w:t>
            </w:r>
            <w:r>
              <w:rPr>
                <w:rFonts w:ascii="宋体" w:cs="宋体" w:hAnsi="宋体" w:hint="eastAsia"/>
                <w:iCs/>
                <w:sz w:val="24"/>
                <w:lang w:val="zh-CN"/>
              </w:rPr>
              <w:t>松乳膏、曲安奈德益康</w:t>
            </w:r>
            <w:r>
              <w:rPr>
                <w:rFonts w:ascii="宋体" w:cs="宋体" w:hAnsi="宋体" w:hint="eastAsia"/>
                <w:iCs/>
                <w:sz w:val="24"/>
                <w:lang w:val="zh-CN"/>
              </w:rPr>
              <w:t>唑</w:t>
            </w:r>
            <w:r>
              <w:rPr>
                <w:rFonts w:ascii="宋体" w:cs="宋体" w:hAnsi="宋体" w:hint="eastAsia"/>
                <w:iCs/>
                <w:sz w:val="24"/>
                <w:lang w:val="zh-CN"/>
              </w:rPr>
              <w:t>乳膏等，目前不受集采影响，近年保持一个较好的增长。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360"/>
              <w:ind w:firstLine="480" w:firstLineChars="200"/>
              <w:jc w:val="left"/>
              <w:rPr>
                <w:rFonts w:ascii="宋体" w:cs="宋体" w:hAnsi="宋体"/>
                <w:iCs/>
                <w:sz w:val="24"/>
                <w:lang w:val="zh-CN"/>
              </w:rPr>
            </w:pPr>
            <w:r>
              <w:rPr>
                <w:rFonts w:ascii="宋体" w:cs="宋体" w:hAnsi="宋体" w:hint="eastAsia"/>
                <w:iCs/>
                <w:sz w:val="24"/>
                <w:lang w:val="zh-CN"/>
              </w:rPr>
              <w:t>普药产品：普药是仙</w:t>
            </w:r>
            <w:r>
              <w:rPr>
                <w:rFonts w:ascii="宋体" w:cs="宋体" w:hAnsi="宋体" w:hint="eastAsia"/>
                <w:iCs/>
                <w:sz w:val="24"/>
                <w:lang w:val="zh-CN"/>
              </w:rPr>
              <w:t>琚</w:t>
            </w:r>
            <w:r>
              <w:rPr>
                <w:rFonts w:ascii="宋体" w:cs="宋体" w:hAnsi="宋体" w:hint="eastAsia"/>
                <w:iCs/>
                <w:sz w:val="24"/>
                <w:lang w:val="zh-CN"/>
              </w:rPr>
              <w:t>制药的利基，总体保持</w:t>
            </w:r>
            <w:r>
              <w:rPr>
                <w:rFonts w:ascii="宋体" w:cs="宋体" w:hAnsi="宋体" w:hint="eastAsia"/>
                <w:iCs/>
                <w:sz w:val="24"/>
              </w:rPr>
              <w:t>10%左右的增速。</w:t>
            </w:r>
            <w:r>
              <w:rPr>
                <w:rFonts w:ascii="宋体" w:cs="宋体" w:hAnsi="宋体" w:hint="eastAsia"/>
                <w:iCs/>
                <w:sz w:val="24"/>
                <w:lang w:val="zh-CN"/>
              </w:rPr>
              <w:t>普药价格低、量大，消耗原料药多，如果原料药价跌，普药制剂</w:t>
            </w:r>
            <w:r>
              <w:rPr>
                <w:rFonts w:ascii="宋体" w:cs="宋体" w:hAnsi="宋体" w:hint="eastAsia"/>
                <w:iCs/>
                <w:sz w:val="24"/>
                <w:lang w:val="zh-CN"/>
              </w:rPr>
              <w:t>端业绩</w:t>
            </w:r>
            <w:r>
              <w:rPr>
                <w:rFonts w:ascii="宋体" w:cs="宋体" w:hAnsi="宋体" w:hint="eastAsia"/>
                <w:iCs/>
                <w:sz w:val="24"/>
                <w:lang w:val="zh-CN"/>
              </w:rPr>
              <w:t>弹性体现；若原料药涨价，原料药</w:t>
            </w:r>
            <w:r>
              <w:rPr>
                <w:rFonts w:ascii="宋体" w:cs="宋体" w:hAnsi="宋体" w:hint="eastAsia"/>
                <w:iCs/>
                <w:sz w:val="24"/>
                <w:lang w:val="zh-CN"/>
              </w:rPr>
              <w:t>端业绩</w:t>
            </w:r>
            <w:r>
              <w:rPr>
                <w:rFonts w:ascii="宋体" w:cs="宋体" w:hAnsi="宋体" w:hint="eastAsia"/>
                <w:iCs/>
                <w:sz w:val="24"/>
                <w:lang w:val="zh-CN"/>
              </w:rPr>
              <w:t>将弹性体现。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360"/>
              <w:jc w:val="left"/>
              <w:rPr>
                <w:rFonts w:ascii="宋体" w:cs="宋体" w:hAnsi="宋体" w:hint="eastAsia"/>
                <w:iCs/>
                <w:sz w:val="24"/>
                <w:lang w:val="zh-CN"/>
              </w:rPr>
            </w:pPr>
            <w:r>
              <w:rPr>
                <w:rFonts w:ascii="宋体" w:cs="宋体" w:hAnsi="宋体" w:hint="eastAsia"/>
                <w:iCs/>
                <w:sz w:val="24"/>
                <w:lang w:val="zh-CN"/>
              </w:rPr>
              <w:t xml:space="preserve">     </w:t>
            </w:r>
            <w:r>
              <w:rPr>
                <w:rFonts w:ascii="宋体" w:cs="宋体" w:hAnsi="宋体" w:hint="eastAsia"/>
                <w:iCs/>
                <w:sz w:val="24"/>
                <w:lang w:val="zh-CN"/>
              </w:rPr>
              <w:t>结合公司在</w:t>
            </w:r>
            <w:r>
              <w:rPr>
                <w:rFonts w:ascii="宋体" w:cs="宋体" w:hAnsi="宋体" w:hint="eastAsia"/>
                <w:iCs/>
                <w:sz w:val="24"/>
                <w:lang w:val="zh-CN"/>
              </w:rPr>
              <w:t>研</w:t>
            </w:r>
            <w:r>
              <w:rPr>
                <w:rFonts w:ascii="宋体" w:cs="宋体" w:hAnsi="宋体" w:hint="eastAsia"/>
                <w:iCs/>
                <w:sz w:val="24"/>
                <w:lang w:val="zh-CN"/>
              </w:rPr>
              <w:t>产品的规划与发展，公司布局2020年非公开发行股票募集资金投资项目“高端制剂国际化建设项目”，争取做到研发生产线建设产品申报的紧密对接。</w:t>
            </w:r>
            <w:r>
              <w:rPr>
                <w:rFonts w:ascii="宋体" w:cs="宋体" w:hAnsi="宋体" w:hint="eastAsia"/>
                <w:iCs/>
                <w:sz w:val="24"/>
                <w:lang w:val="zh-CN"/>
              </w:rPr>
              <w:t>目前该项目两座配套厂房已结顶，</w:t>
            </w:r>
            <w:r>
              <w:rPr>
                <w:rFonts w:ascii="宋体" w:cs="宋体" w:hAnsi="宋体" w:hint="eastAsia"/>
                <w:iCs/>
                <w:sz w:val="24"/>
                <w:lang w:val="zh-CN"/>
              </w:rPr>
              <w:t>另两座</w:t>
            </w:r>
            <w:r>
              <w:rPr>
                <w:rFonts w:ascii="宋体" w:cs="宋体" w:hAnsi="宋体" w:hint="eastAsia"/>
                <w:iCs/>
                <w:sz w:val="24"/>
                <w:lang w:val="zh-CN"/>
              </w:rPr>
              <w:t>生产车间准备施工，相关生产线设备已开</w:t>
            </w:r>
            <w:r>
              <w:rPr>
                <w:rFonts w:ascii="宋体" w:cs="宋体" w:hAnsi="宋体" w:hint="eastAsia"/>
                <w:iCs/>
                <w:sz w:val="24"/>
                <w:lang w:val="zh-CN"/>
              </w:rPr>
              <w:t>始</w:t>
            </w:r>
            <w:r>
              <w:rPr>
                <w:rFonts w:ascii="宋体" w:cs="宋体" w:hAnsi="宋体" w:hint="eastAsia"/>
                <w:iCs/>
                <w:sz w:val="24"/>
                <w:lang w:val="zh-CN"/>
              </w:rPr>
              <w:t>订购。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360"/>
              <w:jc w:val="left"/>
              <w:rPr>
                <w:rFonts w:ascii="宋体" w:cs="宋体" w:hAnsi="宋体"/>
                <w:iCs/>
                <w:sz w:val="24"/>
                <w:lang w:val="zh-CN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360"/>
              <w:ind w:firstLine="482" w:firstLineChars="200"/>
              <w:jc w:val="left"/>
              <w:rPr>
                <w:rStyle w:val="style4097"/>
                <w:rFonts w:ascii="宋体" w:hAnsi="宋体"/>
                <w:b/>
                <w:bCs/>
                <w:iCs/>
                <w:sz w:val="24"/>
                <w:szCs w:val="22"/>
              </w:rPr>
            </w:pPr>
            <w:r>
              <w:rPr>
                <w:rStyle w:val="style4097"/>
                <w:rFonts w:ascii="宋体" w:hAnsi="宋体" w:hint="eastAsia"/>
                <w:b/>
                <w:bCs/>
                <w:iCs/>
                <w:sz w:val="24"/>
                <w:szCs w:val="22"/>
              </w:rPr>
              <w:t>3、集采对公司未来发展有多大的影响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360"/>
              <w:ind w:firstLine="480" w:firstLineChars="200"/>
              <w:jc w:val="left"/>
              <w:rPr>
                <w:rFonts w:ascii="宋体" w:cs="宋体" w:hAnsi="宋体"/>
                <w:iCs/>
                <w:sz w:val="24"/>
                <w:lang w:val="zh-CN"/>
              </w:rPr>
            </w:pPr>
            <w:r>
              <w:rPr>
                <w:rFonts w:ascii="宋体" w:cs="宋体" w:hAnsi="宋体" w:hint="eastAsia"/>
                <w:iCs/>
                <w:sz w:val="24"/>
                <w:lang w:val="zh-CN"/>
              </w:rPr>
              <w:t>公司的产品若纳入集采，主要是</w:t>
            </w:r>
            <w:r>
              <w:rPr>
                <w:rFonts w:ascii="宋体" w:cs="宋体" w:hAnsi="宋体" w:hint="eastAsia"/>
                <w:iCs/>
                <w:sz w:val="24"/>
                <w:lang w:val="zh-CN"/>
              </w:rPr>
              <w:t>麻醉肌松制剂</w:t>
            </w:r>
            <w:r>
              <w:rPr>
                <w:rFonts w:ascii="宋体" w:cs="宋体" w:hAnsi="宋体" w:hint="eastAsia"/>
                <w:iCs/>
                <w:sz w:val="24"/>
                <w:lang w:val="zh-CN"/>
              </w:rPr>
              <w:t>产品的</w:t>
            </w:r>
            <w:r>
              <w:rPr>
                <w:rFonts w:ascii="宋体" w:cs="宋体" w:hAnsi="宋体" w:hint="eastAsia"/>
                <w:iCs/>
                <w:sz w:val="24"/>
                <w:lang w:val="zh-CN"/>
              </w:rPr>
              <w:t>收入端会有</w:t>
            </w:r>
            <w:r>
              <w:rPr>
                <w:rFonts w:ascii="宋体" w:cs="宋体" w:hAnsi="宋体" w:hint="eastAsia"/>
                <w:iCs/>
                <w:sz w:val="24"/>
                <w:lang w:val="zh-CN"/>
              </w:rPr>
              <w:t>影响。顺阿曲库铵集</w:t>
            </w:r>
            <w:r>
              <w:rPr>
                <w:rFonts w:ascii="宋体" w:cs="宋体" w:hAnsi="宋体" w:hint="eastAsia"/>
                <w:iCs/>
                <w:sz w:val="24"/>
                <w:lang w:val="zh-CN"/>
              </w:rPr>
              <w:t>采影响</w:t>
            </w:r>
            <w:r>
              <w:rPr>
                <w:rFonts w:ascii="宋体" w:cs="宋体" w:hAnsi="宋体" w:hint="eastAsia"/>
                <w:iCs/>
                <w:sz w:val="24"/>
                <w:lang w:val="zh-CN"/>
              </w:rPr>
              <w:t>从二季度已经开始体现。公司顺阿曲库铵原料药从原先的单纯</w:t>
            </w:r>
            <w:r>
              <w:rPr>
                <w:rFonts w:ascii="宋体" w:cs="宋体" w:hAnsi="宋体" w:hint="eastAsia"/>
                <w:iCs/>
                <w:sz w:val="24"/>
                <w:lang w:val="zh-CN"/>
              </w:rPr>
              <w:t>自供开始转化为同时对外销售。</w:t>
            </w:r>
            <w:r>
              <w:rPr>
                <w:rFonts w:ascii="宋体" w:cs="宋体" w:hAnsi="宋体" w:hint="eastAsia"/>
                <w:iCs/>
                <w:sz w:val="24"/>
                <w:lang w:val="zh-CN"/>
              </w:rPr>
              <w:t>利润端相对可控。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360"/>
              <w:ind w:firstLine="480" w:firstLineChars="200"/>
              <w:jc w:val="left"/>
              <w:rPr>
                <w:rFonts w:ascii="宋体" w:cs="宋体" w:hAnsi="宋体"/>
                <w:iCs/>
                <w:sz w:val="24"/>
                <w:lang w:val="zh-CN"/>
              </w:rPr>
            </w:pPr>
            <w:r>
              <w:rPr>
                <w:rFonts w:ascii="宋体" w:cs="宋体" w:hAnsi="宋体" w:hint="eastAsia"/>
                <w:iCs/>
                <w:sz w:val="24"/>
                <w:lang w:val="zh-CN"/>
              </w:rPr>
              <w:t>盐酸罗哌卡因注射液入围第</w:t>
            </w:r>
            <w:r>
              <w:rPr>
                <w:rFonts w:ascii="宋体" w:cs="宋体" w:hAnsi="宋体" w:hint="eastAsia"/>
                <w:iCs/>
                <w:sz w:val="24"/>
              </w:rPr>
              <w:t>5批国家集采</w:t>
            </w:r>
            <w:r>
              <w:rPr>
                <w:rFonts w:ascii="宋体" w:cs="宋体" w:hAnsi="宋体" w:hint="eastAsia"/>
                <w:iCs/>
                <w:sz w:val="24"/>
              </w:rPr>
              <w:t>，对公司而言是一个很好的机会</w:t>
            </w:r>
            <w:r>
              <w:rPr>
                <w:rFonts w:ascii="宋体" w:cs="宋体" w:hAnsi="宋体" w:hint="eastAsia"/>
                <w:iCs/>
                <w:sz w:val="24"/>
              </w:rPr>
              <w:t>，</w:t>
            </w:r>
            <w:r>
              <w:rPr>
                <w:rFonts w:ascii="宋体" w:cs="宋体" w:hAnsi="宋体" w:hint="eastAsia"/>
                <w:iCs/>
                <w:sz w:val="24"/>
                <w:lang w:val="zh-CN"/>
              </w:rPr>
              <w:t>销量上体现出大幅提升。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360"/>
              <w:ind w:firstLine="480" w:firstLineChars="200"/>
              <w:jc w:val="left"/>
              <w:rPr>
                <w:rFonts w:ascii="宋体" w:cs="宋体" w:hAnsi="宋体"/>
                <w:iCs/>
                <w:sz w:val="24"/>
              </w:rPr>
            </w:pPr>
            <w:r>
              <w:rPr>
                <w:rFonts w:ascii="宋体" w:cs="宋体" w:hAnsi="宋体" w:hint="eastAsia"/>
                <w:iCs/>
                <w:sz w:val="24"/>
                <w:lang w:val="zh-CN"/>
              </w:rPr>
              <w:t>米索前列醇</w:t>
            </w:r>
            <w:r>
              <w:rPr>
                <w:rFonts w:ascii="宋体" w:cs="宋体" w:hAnsi="宋体" w:hint="eastAsia"/>
                <w:iCs/>
                <w:sz w:val="24"/>
                <w:lang w:val="zh-CN"/>
              </w:rPr>
              <w:t>片应用</w:t>
            </w:r>
            <w:r>
              <w:rPr>
                <w:rFonts w:ascii="宋体" w:cs="宋体" w:hAnsi="宋体" w:hint="eastAsia"/>
                <w:iCs/>
                <w:sz w:val="24"/>
                <w:lang w:val="zh-CN"/>
              </w:rPr>
              <w:t>领域小而专，国内生产厂家主要有三家，进入集采也是这三家企业，生产厂家相对固定，用药稳定。</w:t>
            </w:r>
          </w:p>
          <w:p>
            <w:pPr>
              <w:pStyle w:val="style0"/>
              <w:spacing w:lineRule="auto" w:line="360"/>
              <w:ind w:firstLine="480" w:firstLineChars="200"/>
              <w:jc w:val="left"/>
              <w:rPr>
                <w:rFonts w:ascii="宋体" w:cs="宋体" w:hAnsi="宋体"/>
                <w:iCs/>
                <w:sz w:val="24"/>
                <w:lang w:val="zh-CN"/>
              </w:rPr>
            </w:pPr>
            <w:r>
              <w:rPr>
                <w:rFonts w:ascii="宋体" w:cs="宋体" w:hAnsi="宋体" w:hint="eastAsia"/>
                <w:iCs/>
                <w:sz w:val="24"/>
                <w:lang w:val="zh-CN"/>
              </w:rPr>
              <w:t>基于公司的产品具有多品类、小品种的竞争特点，而且有原料药与制剂一体化的优势，集</w:t>
            </w:r>
            <w:r>
              <w:rPr>
                <w:rFonts w:ascii="宋体" w:cs="宋体" w:hAnsi="宋体" w:hint="eastAsia"/>
                <w:iCs/>
                <w:sz w:val="24"/>
                <w:lang w:val="zh-CN"/>
              </w:rPr>
              <w:t>采影响</w:t>
            </w:r>
            <w:r>
              <w:rPr>
                <w:rFonts w:ascii="宋体" w:cs="宋体" w:hAnsi="宋体" w:hint="eastAsia"/>
                <w:iCs/>
                <w:sz w:val="24"/>
                <w:lang w:val="zh-CN"/>
              </w:rPr>
              <w:t>相对中性。公司将努力加快产品开发，丰富产品梯队，持续增强公司竞争力。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360"/>
              <w:ind w:firstLine="482" w:firstLineChars="200"/>
              <w:jc w:val="left"/>
              <w:rPr>
                <w:rFonts w:ascii="宋体" w:cs="宋体" w:hAnsi="宋体"/>
                <w:b/>
                <w:bCs/>
                <w:iCs/>
                <w:sz w:val="24"/>
              </w:rPr>
            </w:pPr>
            <w:r>
              <w:rPr>
                <w:rFonts w:ascii="宋体" w:cs="宋体" w:hAnsi="宋体" w:hint="eastAsia"/>
                <w:b/>
                <w:bCs/>
                <w:iCs/>
                <w:sz w:val="24"/>
              </w:rPr>
              <w:t>4、原料药厂区情况</w:t>
            </w:r>
          </w:p>
          <w:p>
            <w:pPr>
              <w:pStyle w:val="style0"/>
              <w:spacing w:lineRule="atLeast" w:line="480"/>
              <w:ind w:firstLine="480" w:firstLineChars="200"/>
              <w:rPr>
                <w:rStyle w:val="style4097"/>
                <w:rFonts w:hAnsi="宋体"/>
                <w:bCs/>
                <w:sz w:val="24"/>
                <w:szCs w:val="22"/>
              </w:rPr>
            </w:pPr>
            <w:r>
              <w:rPr>
                <w:rStyle w:val="style4097"/>
                <w:rFonts w:hAnsi="宋体" w:hint="eastAsia"/>
                <w:bCs/>
                <w:sz w:val="24"/>
                <w:szCs w:val="22"/>
              </w:rPr>
              <w:t>公司是一家原料药和制剂一体化的医药企业，</w:t>
            </w:r>
            <w:r>
              <w:rPr>
                <w:rStyle w:val="style4097"/>
                <w:rFonts w:ascii="宋体" w:hAnsi="宋体" w:hint="eastAsia"/>
                <w:bCs/>
                <w:sz w:val="24"/>
                <w:szCs w:val="22"/>
              </w:rPr>
              <w:t>原料药是公司的根基和优势之一，</w:t>
            </w:r>
            <w:r>
              <w:rPr>
                <w:rStyle w:val="style4097"/>
                <w:rFonts w:hAnsi="宋体" w:hint="eastAsia"/>
                <w:bCs/>
                <w:sz w:val="24"/>
                <w:szCs w:val="22"/>
              </w:rPr>
              <w:t>在原料药发展的布局上，公司一直遵行绿色、低碳的发展理念。公司原料药业务已形成了临海川南厂区、</w:t>
            </w:r>
            <w:r>
              <w:rPr>
                <w:rStyle w:val="style4097"/>
                <w:rFonts w:hAnsi="宋体" w:hint="eastAsia"/>
                <w:bCs/>
                <w:sz w:val="24"/>
                <w:szCs w:val="22"/>
              </w:rPr>
              <w:t>台州杨府</w:t>
            </w:r>
            <w:r>
              <w:rPr>
                <w:rStyle w:val="style4097"/>
                <w:rFonts w:hAnsi="宋体" w:hint="eastAsia"/>
                <w:bCs/>
                <w:sz w:val="24"/>
                <w:szCs w:val="22"/>
              </w:rPr>
              <w:t>厂区和意大利</w:t>
            </w:r>
            <w:r>
              <w:rPr>
                <w:rStyle w:val="style4097"/>
                <w:rFonts w:hAnsi="宋体" w:hint="eastAsia"/>
                <w:bCs/>
                <w:sz w:val="24"/>
                <w:szCs w:val="22"/>
              </w:rPr>
              <w:t>Newchem</w:t>
            </w:r>
            <w:r>
              <w:rPr>
                <w:rStyle w:val="style4097"/>
                <w:rFonts w:hAnsi="宋体" w:hint="eastAsia"/>
                <w:bCs/>
                <w:sz w:val="24"/>
                <w:szCs w:val="22"/>
              </w:rPr>
              <w:t xml:space="preserve"> </w:t>
            </w:r>
            <w:r>
              <w:rPr>
                <w:rStyle w:val="style4097"/>
                <w:rFonts w:hAnsi="宋体" w:hint="eastAsia"/>
                <w:bCs/>
                <w:sz w:val="24"/>
                <w:szCs w:val="22"/>
              </w:rPr>
              <w:t>三大厂区协同发展的新局面。</w:t>
            </w:r>
          </w:p>
          <w:p>
            <w:pPr>
              <w:pStyle w:val="style0"/>
              <w:spacing w:lineRule="atLeast" w:line="480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杨府原料药</w:t>
            </w:r>
            <w:r>
              <w:rPr>
                <w:rFonts w:hint="eastAsia"/>
                <w:sz w:val="24"/>
              </w:rPr>
              <w:t>新厂区</w:t>
            </w:r>
            <w:r>
              <w:rPr>
                <w:rFonts w:hint="eastAsia"/>
                <w:sz w:val="24"/>
                <w:lang w:eastAsia="zh-CN"/>
              </w:rPr>
              <w:t>是</w:t>
            </w:r>
            <w:r>
              <w:rPr>
                <w:rStyle w:val="style4097"/>
                <w:rFonts w:hAnsi="宋体" w:hint="eastAsia"/>
                <w:bCs/>
                <w:sz w:val="24"/>
                <w:szCs w:val="22"/>
              </w:rPr>
              <w:t>城南厂区的</w:t>
            </w:r>
            <w:r>
              <w:rPr>
                <w:rStyle w:val="style4097"/>
                <w:rFonts w:hAnsi="宋体" w:hint="eastAsia"/>
                <w:bCs/>
                <w:sz w:val="24"/>
                <w:szCs w:val="22"/>
                <w:lang w:eastAsia="zh-CN"/>
              </w:rPr>
              <w:t>承接和升级</w:t>
            </w:r>
            <w:r>
              <w:rPr>
                <w:rStyle w:val="style4097"/>
                <w:rFonts w:hAnsi="宋体" w:hint="eastAsia"/>
                <w:bCs/>
                <w:sz w:val="24"/>
                <w:szCs w:val="22"/>
              </w:rPr>
              <w:t>，</w:t>
            </w:r>
            <w:r>
              <w:rPr>
                <w:rFonts w:hint="eastAsia"/>
                <w:sz w:val="24"/>
              </w:rPr>
              <w:t>在设计时就考虑配套技术的提升，</w:t>
            </w:r>
            <w:r>
              <w:rPr>
                <w:rStyle w:val="style4097"/>
                <w:rFonts w:hAnsi="宋体" w:hint="eastAsia"/>
                <w:bCs/>
                <w:sz w:val="24"/>
                <w:szCs w:val="22"/>
              </w:rPr>
              <w:t>新厂区</w:t>
            </w:r>
            <w:r>
              <w:rPr>
                <w:rStyle w:val="style4097"/>
                <w:rFonts w:ascii="宋体" w:hAnsi="宋体" w:hint="eastAsia"/>
                <w:bCs/>
                <w:kern w:val="0"/>
                <w:sz w:val="24"/>
                <w:szCs w:val="22"/>
              </w:rPr>
              <w:t>对生产的自动化程度、生产现场的</w:t>
            </w:r>
            <w:r>
              <w:rPr>
                <w:rStyle w:val="style4097"/>
                <w:rFonts w:ascii="宋体" w:hAnsi="宋体" w:hint="eastAsia"/>
                <w:bCs/>
                <w:kern w:val="0"/>
                <w:sz w:val="24"/>
                <w:szCs w:val="22"/>
                <w:lang w:eastAsia="zh-CN"/>
              </w:rPr>
              <w:t>管道化、自动化</w:t>
            </w:r>
            <w:r>
              <w:rPr>
                <w:rStyle w:val="style4097"/>
                <w:rFonts w:ascii="宋体" w:hAnsi="宋体" w:hint="eastAsia"/>
                <w:bCs/>
                <w:kern w:val="0"/>
                <w:sz w:val="24"/>
                <w:szCs w:val="22"/>
              </w:rPr>
              <w:t>、人员配置等技术提出</w:t>
            </w:r>
            <w:r>
              <w:rPr>
                <w:rStyle w:val="style4097"/>
                <w:rFonts w:ascii="宋体" w:hAnsi="宋体" w:hint="eastAsia"/>
                <w:bCs/>
                <w:kern w:val="0"/>
                <w:sz w:val="24"/>
                <w:szCs w:val="22"/>
              </w:rPr>
              <w:t>更高的要求，</w:t>
            </w:r>
            <w:r>
              <w:rPr>
                <w:rFonts w:hint="eastAsia"/>
                <w:sz w:val="24"/>
              </w:rPr>
              <w:t>新设备的运用对生产物料投放的精准性、人员的安全性、生产的绿色低碳环保性都是</w:t>
            </w:r>
            <w:r>
              <w:rPr>
                <w:rFonts w:hint="eastAsia"/>
                <w:sz w:val="24"/>
              </w:rPr>
              <w:t>一</w:t>
            </w:r>
            <w:r>
              <w:rPr>
                <w:rFonts w:hint="eastAsia"/>
                <w:sz w:val="24"/>
              </w:rPr>
              <w:t>种质的提升。公司部份</w:t>
            </w:r>
            <w:r>
              <w:rPr>
                <w:rFonts w:hint="eastAsia"/>
                <w:sz w:val="24"/>
                <w:lang w:eastAsia="zh-CN"/>
              </w:rPr>
              <w:t>工序</w:t>
            </w:r>
            <w:r>
              <w:rPr>
                <w:rFonts w:hint="eastAsia"/>
                <w:sz w:val="24"/>
              </w:rPr>
              <w:t>在</w:t>
            </w:r>
            <w:r>
              <w:rPr>
                <w:rStyle w:val="style4097"/>
                <w:rFonts w:ascii="宋体" w:hAnsi="宋体"/>
                <w:bCs/>
                <w:sz w:val="24"/>
                <w:szCs w:val="22"/>
              </w:rPr>
              <w:t>酶</w:t>
            </w:r>
            <w:r>
              <w:rPr>
                <w:rStyle w:val="style4097"/>
                <w:rFonts w:ascii="宋体" w:hAnsi="宋体" w:hint="eastAsia"/>
                <w:bCs/>
                <w:sz w:val="24"/>
                <w:szCs w:val="22"/>
              </w:rPr>
              <w:t>催化、连续流方面都有新的尝试与探索。</w:t>
            </w:r>
          </w:p>
          <w:p>
            <w:pPr>
              <w:pStyle w:val="style0"/>
              <w:spacing w:lineRule="auto" w:line="360"/>
              <w:ind w:firstLine="480"/>
              <w:jc w:val="left"/>
              <w:rPr>
                <w:rStyle w:val="style4097"/>
                <w:rFonts w:hAnsi="宋体"/>
                <w:bCs/>
                <w:kern w:val="0"/>
                <w:sz w:val="24"/>
                <w:szCs w:val="22"/>
              </w:rPr>
            </w:pPr>
            <w:r>
              <w:rPr>
                <w:rStyle w:val="style4097"/>
                <w:rFonts w:hAnsi="宋体" w:hint="eastAsia"/>
                <w:bCs/>
                <w:sz w:val="24"/>
                <w:szCs w:val="22"/>
              </w:rPr>
              <w:t>临海川南厂区的台州仙</w:t>
            </w:r>
            <w:r>
              <w:rPr>
                <w:rStyle w:val="style4097"/>
                <w:rFonts w:hAnsi="宋体" w:hint="eastAsia"/>
                <w:bCs/>
                <w:sz w:val="24"/>
                <w:szCs w:val="22"/>
              </w:rPr>
              <w:t>琚</w:t>
            </w:r>
            <w:r>
              <w:rPr>
                <w:rStyle w:val="style4097"/>
                <w:rFonts w:hAnsi="宋体" w:hint="eastAsia"/>
                <w:bCs/>
                <w:sz w:val="24"/>
                <w:szCs w:val="22"/>
              </w:rPr>
              <w:t>目前也在多个</w:t>
            </w:r>
            <w:r>
              <w:rPr>
                <w:rStyle w:val="style4097"/>
                <w:rFonts w:hAnsi="宋体" w:hint="eastAsia"/>
                <w:bCs/>
                <w:sz w:val="24"/>
                <w:szCs w:val="22"/>
                <w:lang w:eastAsia="zh-CN"/>
              </w:rPr>
              <w:t>工序</w:t>
            </w:r>
            <w:r>
              <w:rPr>
                <w:rStyle w:val="style4097"/>
                <w:rFonts w:hAnsi="宋体" w:hint="eastAsia"/>
                <w:bCs/>
                <w:sz w:val="24"/>
                <w:szCs w:val="22"/>
              </w:rPr>
              <w:t>上尝试</w:t>
            </w:r>
            <w:r>
              <w:rPr>
                <w:rStyle w:val="style4097"/>
                <w:rFonts w:ascii="宋体" w:hAnsi="宋体" w:hint="eastAsia"/>
                <w:bCs/>
                <w:kern w:val="0"/>
                <w:sz w:val="24"/>
                <w:szCs w:val="22"/>
              </w:rPr>
              <w:t>连续流</w:t>
            </w:r>
            <w:r>
              <w:rPr>
                <w:rStyle w:val="style4097"/>
                <w:rFonts w:ascii="宋体" w:hAnsi="宋体" w:hint="eastAsia"/>
                <w:bCs/>
                <w:kern w:val="0"/>
                <w:sz w:val="24"/>
                <w:szCs w:val="22"/>
              </w:rPr>
              <w:t>微反应</w:t>
            </w:r>
            <w:r>
              <w:rPr>
                <w:rStyle w:val="style4097"/>
                <w:rFonts w:ascii="宋体" w:hAnsi="宋体" w:hint="eastAsia"/>
                <w:bCs/>
                <w:kern w:val="0"/>
                <w:sz w:val="24"/>
                <w:szCs w:val="22"/>
              </w:rPr>
              <w:t>等先进技术开发与应用</w:t>
            </w:r>
            <w:r>
              <w:rPr>
                <w:rStyle w:val="style4097"/>
                <w:rFonts w:hAnsi="宋体" w:hint="eastAsia"/>
                <w:bCs/>
                <w:kern w:val="0"/>
                <w:sz w:val="24"/>
                <w:szCs w:val="22"/>
              </w:rPr>
              <w:t>。</w:t>
            </w:r>
          </w:p>
          <w:p>
            <w:pPr>
              <w:pStyle w:val="style0"/>
              <w:spacing w:lineRule="auto" w:line="360"/>
              <w:ind w:firstLine="480"/>
              <w:jc w:val="left"/>
              <w:rPr>
                <w:rStyle w:val="style4097"/>
                <w:rFonts w:ascii="Times New Roman" w:hAnsi="宋体"/>
                <w:bCs/>
                <w:sz w:val="24"/>
                <w:szCs w:val="22"/>
              </w:rPr>
            </w:pPr>
            <w:r>
              <w:rPr>
                <w:rStyle w:val="style4097"/>
                <w:rFonts w:hAnsi="宋体" w:hint="eastAsia"/>
                <w:bCs/>
                <w:sz w:val="24"/>
                <w:szCs w:val="22"/>
              </w:rPr>
              <w:t>意大利</w:t>
            </w:r>
            <w:r>
              <w:rPr>
                <w:rStyle w:val="style4097"/>
                <w:rFonts w:hAnsi="宋体" w:hint="eastAsia"/>
                <w:bCs/>
                <w:sz w:val="24"/>
                <w:szCs w:val="22"/>
              </w:rPr>
              <w:t>Newchem</w:t>
            </w:r>
            <w:r>
              <w:rPr>
                <w:rStyle w:val="style4097"/>
                <w:rFonts w:hAnsi="宋体" w:hint="eastAsia"/>
                <w:bCs/>
                <w:sz w:val="24"/>
                <w:szCs w:val="22"/>
              </w:rPr>
              <w:t>公司拥有两个厂区，</w:t>
            </w:r>
            <w:r>
              <w:rPr>
                <w:rStyle w:val="style4097"/>
                <w:rFonts w:ascii="Times New Roman" w:hAnsi="宋体" w:hint="eastAsia"/>
                <w:bCs/>
                <w:sz w:val="24"/>
                <w:szCs w:val="22"/>
              </w:rPr>
              <w:t>Newchem</w:t>
            </w:r>
            <w:r>
              <w:rPr>
                <w:rStyle w:val="style4097"/>
                <w:rFonts w:ascii="Times New Roman" w:hAnsi="宋体" w:hint="eastAsia"/>
                <w:bCs/>
                <w:sz w:val="24"/>
                <w:szCs w:val="22"/>
              </w:rPr>
              <w:t>公司有</w:t>
            </w:r>
            <w:r>
              <w:rPr>
                <w:rStyle w:val="style4097"/>
                <w:rFonts w:ascii="Times New Roman" w:hAnsi="宋体" w:hint="eastAsia"/>
                <w:bCs/>
                <w:sz w:val="24"/>
                <w:szCs w:val="22"/>
              </w:rPr>
              <w:t>62</w:t>
            </w:r>
            <w:r>
              <w:rPr>
                <w:rStyle w:val="style4097"/>
                <w:rFonts w:ascii="Times New Roman" w:hAnsi="宋体" w:hint="eastAsia"/>
                <w:bCs/>
                <w:sz w:val="24"/>
                <w:szCs w:val="22"/>
              </w:rPr>
              <w:t>个产品，其中皮质类固醇产品</w:t>
            </w:r>
            <w:r>
              <w:rPr>
                <w:rStyle w:val="style4097"/>
                <w:rFonts w:ascii="Times New Roman" w:hAnsi="宋体" w:hint="eastAsia"/>
                <w:bCs/>
                <w:sz w:val="24"/>
                <w:szCs w:val="22"/>
              </w:rPr>
              <w:t>38</w:t>
            </w:r>
            <w:r>
              <w:rPr>
                <w:rStyle w:val="style4097"/>
                <w:rFonts w:ascii="Times New Roman" w:hAnsi="宋体" w:hint="eastAsia"/>
                <w:bCs/>
                <w:sz w:val="24"/>
                <w:szCs w:val="22"/>
              </w:rPr>
              <w:t>个，激素类产品</w:t>
            </w:r>
            <w:r>
              <w:rPr>
                <w:rStyle w:val="style4097"/>
                <w:rFonts w:ascii="Times New Roman" w:hAnsi="宋体" w:hint="eastAsia"/>
                <w:bCs/>
                <w:sz w:val="24"/>
                <w:szCs w:val="22"/>
              </w:rPr>
              <w:t>8</w:t>
            </w:r>
            <w:r>
              <w:rPr>
                <w:rStyle w:val="style4097"/>
                <w:rFonts w:ascii="Times New Roman" w:hAnsi="宋体" w:hint="eastAsia"/>
                <w:bCs/>
                <w:sz w:val="24"/>
                <w:szCs w:val="22"/>
              </w:rPr>
              <w:t>个，</w:t>
            </w:r>
            <w:r>
              <w:rPr>
                <w:rStyle w:val="style4097"/>
                <w:rFonts w:ascii="Times New Roman" w:hAnsi="宋体" w:hint="eastAsia"/>
                <w:bCs/>
                <w:sz w:val="24"/>
                <w:szCs w:val="22"/>
              </w:rPr>
              <w:t>前列腺素产品</w:t>
            </w:r>
            <w:r>
              <w:rPr>
                <w:rStyle w:val="style4097"/>
                <w:rFonts w:ascii="Times New Roman" w:hAnsi="宋体" w:hint="eastAsia"/>
                <w:bCs/>
                <w:sz w:val="24"/>
                <w:szCs w:val="22"/>
              </w:rPr>
              <w:t>7</w:t>
            </w:r>
            <w:r>
              <w:rPr>
                <w:rStyle w:val="style4097"/>
                <w:rFonts w:ascii="Times New Roman" w:hAnsi="宋体" w:hint="eastAsia"/>
                <w:bCs/>
                <w:sz w:val="24"/>
                <w:szCs w:val="22"/>
              </w:rPr>
              <w:t>个，其他激素衍生物</w:t>
            </w:r>
            <w:r>
              <w:rPr>
                <w:rStyle w:val="style4097"/>
                <w:rFonts w:ascii="Times New Roman" w:hAnsi="宋体" w:hint="eastAsia"/>
                <w:bCs/>
                <w:sz w:val="24"/>
                <w:szCs w:val="22"/>
              </w:rPr>
              <w:t>9</w:t>
            </w:r>
            <w:r>
              <w:rPr>
                <w:rStyle w:val="style4097"/>
                <w:rFonts w:ascii="Times New Roman" w:hAnsi="宋体" w:hint="eastAsia"/>
                <w:bCs/>
                <w:sz w:val="24"/>
                <w:szCs w:val="22"/>
              </w:rPr>
              <w:t>个；目前</w:t>
            </w:r>
            <w:r>
              <w:rPr>
                <w:rStyle w:val="style4097"/>
                <w:rFonts w:ascii="Times New Roman" w:hAnsi="宋体" w:hint="eastAsia"/>
                <w:bCs/>
                <w:sz w:val="24"/>
                <w:szCs w:val="22"/>
              </w:rPr>
              <w:t>24</w:t>
            </w:r>
            <w:r>
              <w:rPr>
                <w:rStyle w:val="style4097"/>
                <w:rFonts w:ascii="Times New Roman" w:hAnsi="宋体" w:hint="eastAsia"/>
                <w:bCs/>
                <w:sz w:val="24"/>
                <w:szCs w:val="22"/>
              </w:rPr>
              <w:t>个产品具备</w:t>
            </w:r>
            <w:r>
              <w:rPr>
                <w:rStyle w:val="style4097"/>
                <w:rFonts w:ascii="Times New Roman" w:hAnsi="宋体" w:hint="eastAsia"/>
                <w:bCs/>
                <w:sz w:val="24"/>
                <w:szCs w:val="22"/>
              </w:rPr>
              <w:t>DMF</w:t>
            </w:r>
            <w:r>
              <w:rPr>
                <w:rStyle w:val="style4097"/>
                <w:rFonts w:ascii="Times New Roman" w:hAnsi="宋体" w:hint="eastAsia"/>
                <w:bCs/>
                <w:sz w:val="24"/>
                <w:szCs w:val="22"/>
              </w:rPr>
              <w:t>或</w:t>
            </w:r>
            <w:r>
              <w:rPr>
                <w:rStyle w:val="style4097"/>
                <w:rFonts w:ascii="Times New Roman" w:hAnsi="宋体" w:hint="eastAsia"/>
                <w:bCs/>
                <w:sz w:val="24"/>
                <w:szCs w:val="22"/>
              </w:rPr>
              <w:t>CEP</w:t>
            </w:r>
            <w:r>
              <w:rPr>
                <w:rStyle w:val="style4097"/>
                <w:rFonts w:ascii="Times New Roman" w:hAnsi="宋体" w:hint="eastAsia"/>
                <w:bCs/>
                <w:sz w:val="24"/>
                <w:szCs w:val="22"/>
              </w:rPr>
              <w:t>文号，在美国、欧盟和日本等规范市场获得准入，</w:t>
            </w:r>
            <w:r>
              <w:rPr>
                <w:rStyle w:val="style4097"/>
                <w:rFonts w:ascii="Times New Roman" w:hAnsi="宋体" w:hint="eastAsia"/>
                <w:bCs/>
                <w:sz w:val="24"/>
                <w:szCs w:val="22"/>
              </w:rPr>
              <w:t>Newchem</w:t>
            </w:r>
            <w:r>
              <w:rPr>
                <w:rStyle w:val="style4097"/>
                <w:rFonts w:ascii="Times New Roman" w:hAnsi="宋体" w:hint="eastAsia"/>
                <w:bCs/>
                <w:sz w:val="24"/>
                <w:szCs w:val="22"/>
              </w:rPr>
              <w:t>的皮质类固醇类产品丙</w:t>
            </w:r>
            <w:r>
              <w:rPr>
                <w:rStyle w:val="style4097"/>
                <w:rFonts w:ascii="Times New Roman" w:hAnsi="宋体" w:hint="eastAsia"/>
                <w:bCs/>
                <w:sz w:val="24"/>
                <w:szCs w:val="22"/>
              </w:rPr>
              <w:t>酸氟替卡</w:t>
            </w:r>
            <w:r>
              <w:rPr>
                <w:rStyle w:val="style4097"/>
                <w:rFonts w:ascii="Times New Roman" w:hAnsi="宋体" w:hint="eastAsia"/>
                <w:bCs/>
                <w:sz w:val="24"/>
                <w:szCs w:val="22"/>
              </w:rPr>
              <w:t>松、</w:t>
            </w:r>
            <w:r>
              <w:rPr>
                <w:rStyle w:val="style4097"/>
                <w:rFonts w:ascii="Times New Roman" w:hAnsi="宋体" w:hint="eastAsia"/>
                <w:bCs/>
                <w:sz w:val="24"/>
                <w:szCs w:val="22"/>
              </w:rPr>
              <w:t>糠酸氟替卡</w:t>
            </w:r>
            <w:r>
              <w:rPr>
                <w:rStyle w:val="style4097"/>
                <w:rFonts w:ascii="Times New Roman" w:hAnsi="宋体" w:hint="eastAsia"/>
                <w:bCs/>
                <w:sz w:val="24"/>
                <w:szCs w:val="22"/>
              </w:rPr>
              <w:t>松、</w:t>
            </w:r>
            <w:r>
              <w:rPr>
                <w:rStyle w:val="style4097"/>
                <w:rFonts w:ascii="Times New Roman" w:hAnsi="宋体" w:hint="eastAsia"/>
                <w:bCs/>
                <w:sz w:val="24"/>
                <w:szCs w:val="22"/>
              </w:rPr>
              <w:t>氟米松</w:t>
            </w:r>
            <w:r>
              <w:rPr>
                <w:rStyle w:val="style4097"/>
                <w:rFonts w:ascii="Times New Roman" w:hAnsi="宋体" w:hint="eastAsia"/>
                <w:bCs/>
                <w:sz w:val="24"/>
                <w:szCs w:val="22"/>
              </w:rPr>
              <w:t>新戊酸酯、甲基泼尼松龙琥珀酸钠等是公司原料药产品的下游高端衍生物，很多特色品种近两年有效拓展了增量市场，所有产品对接国际高端市场。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360"/>
              <w:ind w:firstLine="482" w:firstLineChars="200"/>
              <w:jc w:val="left"/>
              <w:rPr>
                <w:rFonts w:ascii="宋体" w:cs="宋体" w:hAnsi="宋体"/>
                <w:b/>
                <w:bCs/>
                <w:iCs/>
                <w:sz w:val="24"/>
              </w:rPr>
            </w:pPr>
            <w:r>
              <w:rPr>
                <w:rFonts w:ascii="宋体" w:cs="宋体" w:hAnsi="宋体" w:hint="eastAsia"/>
                <w:b/>
                <w:bCs/>
                <w:iCs/>
                <w:sz w:val="24"/>
              </w:rPr>
              <w:t>5、杨府原料药厂区认证情况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360"/>
              <w:ind w:firstLine="480"/>
              <w:jc w:val="left"/>
              <w:rPr>
                <w:rStyle w:val="style4097"/>
                <w:rFonts w:ascii="宋体" w:hAnsi="宋体"/>
                <w:bCs/>
                <w:sz w:val="24"/>
                <w:szCs w:val="22"/>
              </w:rPr>
            </w:pPr>
            <w:r>
              <w:rPr>
                <w:rStyle w:val="style4097"/>
                <w:rFonts w:ascii="宋体" w:hAnsi="宋体" w:hint="eastAsia"/>
                <w:bCs/>
                <w:sz w:val="24"/>
                <w:szCs w:val="22"/>
              </w:rPr>
              <w:t>公司</w:t>
            </w:r>
            <w:r>
              <w:rPr>
                <w:rFonts w:ascii="宋体" w:cs="宋体" w:hAnsi="宋体" w:hint="eastAsia"/>
                <w:iCs/>
                <w:sz w:val="24"/>
              </w:rPr>
              <w:t>杨府</w:t>
            </w:r>
            <w:r>
              <w:rPr>
                <w:rStyle w:val="style4097"/>
                <w:rFonts w:ascii="宋体" w:hAnsi="宋体" w:hint="eastAsia"/>
                <w:bCs/>
                <w:sz w:val="24"/>
                <w:szCs w:val="22"/>
              </w:rPr>
              <w:t>原料药厂区围绕皮质激素类、孕激素类、性激素类、非激素类的几大品类原料药品种来做。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360"/>
              <w:ind w:firstLine="480"/>
              <w:jc w:val="left"/>
              <w:rPr>
                <w:rFonts w:ascii="宋体" w:cs="宋体" w:hAnsi="宋体"/>
                <w:iCs/>
                <w:sz w:val="24"/>
              </w:rPr>
            </w:pPr>
            <w:r>
              <w:rPr>
                <w:rFonts w:ascii="宋体" w:cs="宋体" w:hAnsi="宋体" w:hint="eastAsia"/>
                <w:iCs/>
                <w:sz w:val="24"/>
              </w:rPr>
              <w:t>今年5月份，杨府原料药厂区部分产品取得了欧</w:t>
            </w:r>
            <w:r>
              <w:rPr>
                <w:rFonts w:ascii="宋体" w:cs="宋体" w:hAnsi="宋体" w:hint="eastAsia"/>
                <w:iCs/>
                <w:sz w:val="24"/>
                <w:lang w:eastAsia="zh-CN"/>
              </w:rPr>
              <w:t>盟</w:t>
            </w:r>
            <w:r>
              <w:rPr>
                <w:rFonts w:ascii="宋体" w:cs="宋体" w:hAnsi="宋体" w:hint="default"/>
                <w:iCs/>
                <w:sz w:val="24"/>
                <w:lang w:val="en-US" w:eastAsia="zh-CN"/>
              </w:rPr>
              <w:t>CEP</w:t>
            </w:r>
            <w:r>
              <w:rPr>
                <w:rFonts w:ascii="宋体" w:cs="宋体" w:hAnsi="宋体" w:hint="eastAsia"/>
                <w:iCs/>
                <w:sz w:val="24"/>
                <w:lang w:val="en-US" w:eastAsia="zh-CN"/>
              </w:rPr>
              <w:t>证书</w:t>
            </w:r>
            <w:r>
              <w:rPr>
                <w:rFonts w:ascii="宋体" w:cs="宋体" w:hAnsi="宋体" w:hint="eastAsia"/>
                <w:iCs/>
                <w:sz w:val="24"/>
              </w:rPr>
              <w:t>。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360"/>
              <w:ind w:firstLine="480"/>
              <w:jc w:val="left"/>
              <w:rPr>
                <w:rFonts w:ascii="宋体" w:cs="宋体" w:hAnsi="宋体"/>
                <w:iCs/>
                <w:sz w:val="24"/>
              </w:rPr>
            </w:pPr>
            <w:r>
              <w:rPr>
                <w:rFonts w:ascii="宋体" w:cs="宋体" w:hAnsi="宋体" w:hint="eastAsia"/>
                <w:iCs/>
                <w:sz w:val="24"/>
              </w:rPr>
              <w:t>今年9月份，杨府原料药厂区部分产品接受了日本官方的远程审计认证，目前已开始接收订单。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360"/>
              <w:ind w:firstLine="480"/>
              <w:jc w:val="left"/>
              <w:rPr>
                <w:rFonts w:ascii="宋体" w:cs="宋体" w:hAnsi="宋体"/>
                <w:iCs/>
                <w:sz w:val="24"/>
              </w:rPr>
            </w:pPr>
            <w:r>
              <w:rPr>
                <w:rFonts w:ascii="宋体" w:cs="宋体" w:hAnsi="宋体" w:hint="eastAsia"/>
                <w:iCs/>
                <w:sz w:val="24"/>
              </w:rPr>
              <w:t>杨府原料药厂区在今年3 、4月份就做好了美国FDA认证迎检的准备工作，疫情的原因，到目前为止还没有接到明确来检查的通知。FDA认证的延期，在一定程度上影响了公司在北美、南美等市场的客户开拓进度。这些市场一部分客户</w:t>
            </w:r>
            <w:r>
              <w:rPr>
                <w:rFonts w:ascii="宋体" w:cs="宋体" w:hAnsi="宋体" w:hint="eastAsia"/>
                <w:iCs/>
                <w:sz w:val="24"/>
              </w:rPr>
              <w:t>验证批已供货</w:t>
            </w:r>
            <w:r>
              <w:rPr>
                <w:rFonts w:ascii="宋体" w:cs="宋体" w:hAnsi="宋体" w:hint="eastAsia"/>
                <w:iCs/>
                <w:sz w:val="24"/>
              </w:rPr>
              <w:t>，但是商业规模销售还有待FDA认证的通过。</w:t>
            </w:r>
            <w:r>
              <w:rPr>
                <w:rFonts w:ascii="宋体" w:cs="宋体" w:hAnsi="宋体" w:hint="eastAsia"/>
                <w:iCs/>
                <w:sz w:val="24"/>
              </w:rPr>
              <w:t>公司</w:t>
            </w:r>
            <w:r>
              <w:rPr>
                <w:rFonts w:ascii="宋体" w:cs="宋体" w:hAnsi="宋体" w:hint="eastAsia"/>
                <w:iCs/>
                <w:sz w:val="24"/>
              </w:rPr>
              <w:t>随时做好</w:t>
            </w:r>
            <w:r>
              <w:rPr>
                <w:rFonts w:ascii="宋体" w:cs="宋体" w:hAnsi="宋体" w:hint="eastAsia"/>
                <w:iCs/>
                <w:sz w:val="24"/>
              </w:rPr>
              <w:t>准备</w:t>
            </w:r>
            <w:r>
              <w:rPr>
                <w:rFonts w:ascii="宋体" w:cs="宋体" w:hAnsi="宋体" w:hint="eastAsia"/>
                <w:iCs/>
                <w:sz w:val="24"/>
              </w:rPr>
              <w:t>迎接美国FDA认证。</w:t>
            </w:r>
          </w:p>
          <w:p>
            <w:pPr>
              <w:pStyle w:val="style0"/>
              <w:spacing w:lineRule="auto" w:line="360"/>
              <w:ind w:firstLine="482" w:firstLineChars="200"/>
              <w:rPr>
                <w:rStyle w:val="style4097"/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cs="宋体" w:hAnsi="宋体" w:hint="eastAsia"/>
                <w:b/>
                <w:bCs/>
                <w:iCs/>
                <w:sz w:val="24"/>
              </w:rPr>
              <w:t>6、</w:t>
            </w:r>
            <w:r>
              <w:rPr>
                <w:rStyle w:val="style4097"/>
                <w:rFonts w:ascii="宋体" w:hAnsi="宋体" w:hint="eastAsia"/>
                <w:b/>
                <w:sz w:val="24"/>
                <w:szCs w:val="22"/>
              </w:rPr>
              <w:t>公司中长期战略定位及未来的发展布局</w:t>
            </w:r>
          </w:p>
          <w:p>
            <w:pPr>
              <w:pStyle w:val="style0"/>
              <w:spacing w:lineRule="atLeast" w:line="480"/>
              <w:ind w:firstLine="480" w:firstLineChars="200"/>
              <w:rPr>
                <w:rStyle w:val="style4097"/>
                <w:rFonts w:ascii="宋体" w:hAnsi="宋体"/>
                <w:bCs/>
                <w:sz w:val="24"/>
                <w:szCs w:val="22"/>
              </w:rPr>
            </w:pPr>
            <w:r>
              <w:rPr>
                <w:rStyle w:val="style4097"/>
                <w:rFonts w:ascii="宋体" w:hAnsi="宋体" w:hint="eastAsia"/>
                <w:bCs/>
                <w:sz w:val="24"/>
                <w:szCs w:val="22"/>
              </w:rPr>
              <w:t>全球范围内的</w:t>
            </w:r>
            <w:r>
              <w:rPr>
                <w:rStyle w:val="style4097"/>
                <w:rFonts w:ascii="宋体" w:hAnsi="宋体" w:hint="eastAsia"/>
                <w:bCs/>
                <w:sz w:val="24"/>
                <w:szCs w:val="22"/>
              </w:rPr>
              <w:t>甾</w:t>
            </w:r>
            <w:r>
              <w:rPr>
                <w:rStyle w:val="style4097"/>
                <w:rFonts w:ascii="宋体" w:hAnsi="宋体" w:hint="eastAsia"/>
                <w:bCs/>
                <w:sz w:val="24"/>
                <w:szCs w:val="22"/>
              </w:rPr>
              <w:t>体药物的市场容量大，厂家主要集中在大型跨国制药公司，每家公司也各具特点，分别在呼吸科、雌激素补充、短效避孕药、皮质激素制剂等某类治疗领域独具特色。仙</w:t>
            </w:r>
            <w:r>
              <w:rPr>
                <w:rStyle w:val="style4097"/>
                <w:rFonts w:ascii="宋体" w:hAnsi="宋体" w:hint="eastAsia"/>
                <w:bCs/>
                <w:sz w:val="24"/>
                <w:szCs w:val="22"/>
              </w:rPr>
              <w:t>琚</w:t>
            </w:r>
            <w:r>
              <w:rPr>
                <w:rStyle w:val="style4097"/>
                <w:rFonts w:ascii="宋体" w:hAnsi="宋体" w:hint="eastAsia"/>
                <w:bCs/>
                <w:sz w:val="24"/>
                <w:szCs w:val="22"/>
              </w:rPr>
              <w:t>制药兼具原料药与制剂一体化的产业链、制造体系完备（中国工厂和意大利工厂）、销售国内和国外两个市场，在细分领域独具特色。</w:t>
            </w:r>
          </w:p>
          <w:p>
            <w:pPr>
              <w:pStyle w:val="style0"/>
              <w:spacing w:lineRule="atLeast" w:line="480"/>
              <w:ind w:firstLine="480" w:firstLineChars="200"/>
              <w:rPr>
                <w:rStyle w:val="style4097"/>
                <w:rFonts w:ascii="宋体" w:hAnsi="宋体"/>
                <w:bCs/>
                <w:iCs/>
                <w:sz w:val="24"/>
                <w:szCs w:val="22"/>
              </w:rPr>
            </w:pPr>
            <w:r>
              <w:rPr>
                <w:rStyle w:val="style4097"/>
                <w:rFonts w:ascii="宋体" w:hAnsi="宋体" w:hint="eastAsia"/>
                <w:bCs/>
                <w:iCs/>
                <w:sz w:val="24"/>
                <w:szCs w:val="22"/>
              </w:rPr>
              <w:t>公司将长期聚焦甾体激素领域，做全、做精激素产业链、不断丰富原料药及制剂产品结构，专注于综合能力提升，不断提升产品的价值，在行业内形成小而美的行业特</w:t>
            </w:r>
            <w:r>
              <w:rPr>
                <w:rStyle w:val="style4097"/>
                <w:rFonts w:ascii="宋体" w:hAnsi="宋体" w:hint="eastAsia"/>
                <w:bCs/>
                <w:iCs/>
                <w:sz w:val="24"/>
                <w:szCs w:val="22"/>
              </w:rPr>
              <w:t>色。打造产品全、研究深、品质高、综合成本优的全球</w:t>
            </w:r>
            <w:r>
              <w:rPr>
                <w:rStyle w:val="style4097"/>
                <w:rFonts w:ascii="宋体" w:hAnsi="宋体" w:hint="eastAsia"/>
                <w:bCs/>
                <w:iCs/>
                <w:sz w:val="24"/>
                <w:szCs w:val="22"/>
              </w:rPr>
              <w:t>甾</w:t>
            </w:r>
            <w:r>
              <w:rPr>
                <w:rStyle w:val="style4097"/>
                <w:rFonts w:ascii="宋体" w:hAnsi="宋体" w:hint="eastAsia"/>
                <w:bCs/>
                <w:iCs/>
                <w:sz w:val="24"/>
                <w:szCs w:val="22"/>
              </w:rPr>
              <w:t>体激素产业链优质供应商。</w:t>
            </w:r>
          </w:p>
          <w:p>
            <w:pPr>
              <w:pStyle w:val="style4106"/>
              <w:spacing w:lineRule="auto" w:line="360"/>
              <w:ind w:firstLine="480" w:firstLineChars="200"/>
              <w:jc w:val="both"/>
              <w:rPr>
                <w:rStyle w:val="style4097"/>
                <w:rFonts w:cs="Times New Roman" w:hAnsi="宋体"/>
                <w:bCs/>
                <w:color w:val="auto"/>
                <w:kern w:val="2"/>
                <w:szCs w:val="22"/>
              </w:rPr>
            </w:pPr>
            <w:r>
              <w:rPr>
                <w:rStyle w:val="style4097"/>
                <w:rFonts w:cs="Times New Roman" w:hAnsi="宋体" w:hint="eastAsia"/>
                <w:bCs/>
                <w:color w:val="auto"/>
                <w:kern w:val="2"/>
                <w:szCs w:val="22"/>
              </w:rPr>
              <w:t>制剂产品线：公司将专注于高壁垒的复杂制剂研究，比如肺部给药、半固体凝胶，力争在无菌混悬、吸入制剂等复杂制剂领域实现研发跨越，不断的技术迭代和技术突破，实现高难度技术平台突破，体现高价值。同时普</w:t>
            </w:r>
            <w:r>
              <w:rPr>
                <w:rStyle w:val="style4097"/>
                <w:rFonts w:cs="Times New Roman" w:hAnsi="宋体" w:hint="eastAsia"/>
                <w:bCs/>
                <w:color w:val="auto"/>
                <w:kern w:val="2"/>
                <w:szCs w:val="22"/>
              </w:rPr>
              <w:t>药基本</w:t>
            </w:r>
            <w:r>
              <w:rPr>
                <w:rStyle w:val="style4097"/>
                <w:rFonts w:cs="Times New Roman" w:hAnsi="宋体" w:hint="eastAsia"/>
                <w:bCs/>
                <w:color w:val="auto"/>
                <w:kern w:val="2"/>
                <w:szCs w:val="22"/>
              </w:rPr>
              <w:t>属于低价药具</w:t>
            </w:r>
            <w:r>
              <w:rPr>
                <w:rStyle w:val="style4097"/>
                <w:rFonts w:cs="Times New Roman" w:hAnsi="宋体" w:hint="eastAsia"/>
                <w:bCs/>
                <w:color w:val="auto"/>
                <w:kern w:val="2"/>
                <w:szCs w:val="22"/>
              </w:rPr>
              <w:t>备价格</w:t>
            </w:r>
            <w:r>
              <w:rPr>
                <w:rStyle w:val="style4097"/>
                <w:rFonts w:cs="Times New Roman" w:hAnsi="宋体" w:hint="eastAsia"/>
                <w:bCs/>
                <w:color w:val="auto"/>
                <w:kern w:val="2"/>
                <w:szCs w:val="22"/>
              </w:rPr>
              <w:t>弹性、原料药与制剂一体化方面具备成本优势，在一致性评价基础上做</w:t>
            </w:r>
            <w:r>
              <w:rPr>
                <w:rStyle w:val="style4097"/>
                <w:rFonts w:cs="Times New Roman" w:hAnsi="宋体" w:hint="eastAsia"/>
                <w:bCs/>
                <w:color w:val="auto"/>
                <w:kern w:val="2"/>
                <w:szCs w:val="22"/>
              </w:rPr>
              <w:t>强做</w:t>
            </w:r>
            <w:r>
              <w:rPr>
                <w:rStyle w:val="style4097"/>
                <w:rFonts w:cs="Times New Roman" w:hAnsi="宋体" w:hint="eastAsia"/>
                <w:bCs/>
                <w:color w:val="auto"/>
                <w:kern w:val="2"/>
                <w:szCs w:val="22"/>
              </w:rPr>
              <w:t>大普药，丰富品类。</w:t>
            </w:r>
          </w:p>
          <w:p>
            <w:pPr>
              <w:pStyle w:val="style4106"/>
              <w:spacing w:lineRule="auto" w:line="360"/>
              <w:ind w:firstLine="480"/>
              <w:jc w:val="both"/>
              <w:rPr>
                <w:rStyle w:val="style4097"/>
                <w:rFonts w:hAnsi="宋体"/>
                <w:bCs/>
                <w:color w:val="auto"/>
                <w:szCs w:val="22"/>
              </w:rPr>
            </w:pPr>
            <w:r>
              <w:rPr>
                <w:rStyle w:val="style4097"/>
                <w:rFonts w:cs="Times New Roman" w:hAnsi="宋体" w:hint="eastAsia"/>
                <w:bCs/>
                <w:color w:val="auto"/>
                <w:kern w:val="2"/>
                <w:szCs w:val="22"/>
              </w:rPr>
              <w:t>原料药产品线：最近</w:t>
            </w:r>
            <w:r>
              <w:rPr>
                <w:rStyle w:val="style4097"/>
                <w:rFonts w:cs="Times New Roman" w:hAnsi="宋体"/>
                <w:bCs/>
                <w:color w:val="auto"/>
                <w:kern w:val="2"/>
                <w:szCs w:val="22"/>
              </w:rPr>
              <w:t>国家发展改革委</w:t>
            </w:r>
            <w:r>
              <w:rPr>
                <w:rStyle w:val="style4097"/>
                <w:rFonts w:cs="Times New Roman" w:hAnsi="宋体" w:hint="eastAsia"/>
                <w:bCs/>
                <w:color w:val="auto"/>
                <w:kern w:val="2"/>
                <w:szCs w:val="22"/>
              </w:rPr>
              <w:t>、</w:t>
            </w:r>
            <w:r>
              <w:rPr>
                <w:rStyle w:val="style4097"/>
                <w:rFonts w:cs="Times New Roman" w:hAnsi="宋体"/>
                <w:bCs/>
                <w:color w:val="auto"/>
                <w:kern w:val="2"/>
                <w:szCs w:val="22"/>
              </w:rPr>
              <w:t>工业和信息化部</w:t>
            </w:r>
            <w:r>
              <w:rPr>
                <w:rStyle w:val="style4097"/>
                <w:rFonts w:cs="Times New Roman" w:hAnsi="宋体" w:hint="eastAsia"/>
                <w:bCs/>
                <w:color w:val="auto"/>
                <w:kern w:val="2"/>
                <w:szCs w:val="22"/>
              </w:rPr>
              <w:t>颁发了《</w:t>
            </w:r>
            <w:r>
              <w:rPr>
                <w:rStyle w:val="style4097"/>
                <w:rFonts w:cs="Times New Roman" w:hAnsi="宋体"/>
                <w:bCs/>
                <w:color w:val="auto"/>
                <w:kern w:val="2"/>
                <w:szCs w:val="22"/>
              </w:rPr>
              <w:t>关于推动</w:t>
            </w:r>
            <w:r>
              <w:rPr>
                <w:rStyle w:val="style4097"/>
                <w:rFonts w:cs="Times New Roman" w:hAnsi="宋体" w:hint="eastAsia"/>
                <w:bCs/>
                <w:color w:val="auto"/>
                <w:kern w:val="2"/>
                <w:szCs w:val="22"/>
              </w:rPr>
              <w:t>原</w:t>
            </w:r>
            <w:r>
              <w:rPr>
                <w:rStyle w:val="style4097"/>
                <w:rFonts w:cs="Times New Roman" w:hAnsi="宋体"/>
                <w:bCs/>
                <w:color w:val="auto"/>
                <w:kern w:val="2"/>
                <w:szCs w:val="22"/>
              </w:rPr>
              <w:t>料药产业高质量发展实施方案的通知</w:t>
            </w:r>
            <w:r>
              <w:rPr>
                <w:rStyle w:val="style4097"/>
                <w:rFonts w:cs="Times New Roman" w:hAnsi="宋体" w:hint="eastAsia"/>
                <w:bCs/>
                <w:color w:val="auto"/>
                <w:kern w:val="2"/>
                <w:szCs w:val="22"/>
              </w:rPr>
              <w:t>》。原料药是公司的根基和优势之一，在原料药发展的布局上，公司一直遵行绿色、低碳的发展理念。</w:t>
            </w:r>
            <w:r>
              <w:rPr>
                <w:rStyle w:val="style4097"/>
                <w:rFonts w:cs="Times New Roman" w:hAnsi="宋体" w:hint="eastAsia"/>
                <w:bCs/>
                <w:color w:val="auto"/>
                <w:kern w:val="2"/>
                <w:szCs w:val="22"/>
              </w:rPr>
              <w:t>甾</w:t>
            </w:r>
            <w:r>
              <w:rPr>
                <w:rStyle w:val="style4097"/>
                <w:rFonts w:cs="Times New Roman" w:hAnsi="宋体" w:hint="eastAsia"/>
                <w:bCs/>
                <w:color w:val="auto"/>
                <w:kern w:val="2"/>
                <w:szCs w:val="22"/>
              </w:rPr>
              <w:t>体激素原</w:t>
            </w:r>
            <w:r>
              <w:rPr>
                <w:rStyle w:val="style4097"/>
                <w:rFonts w:hAnsi="宋体" w:hint="eastAsia"/>
                <w:bCs/>
                <w:color w:val="auto"/>
                <w:szCs w:val="22"/>
              </w:rPr>
              <w:t>料药具有高致敏性，对制造工艺、生产环境要求高；工艺过程复杂，兼具发酵和合成工艺。</w:t>
            </w:r>
          </w:p>
          <w:p>
            <w:pPr>
              <w:pStyle w:val="style4106"/>
              <w:spacing w:lineRule="auto" w:line="360"/>
              <w:ind w:firstLine="480"/>
              <w:jc w:val="both"/>
              <w:rPr>
                <w:color w:val="auto"/>
              </w:rPr>
            </w:pPr>
            <w:r>
              <w:rPr>
                <w:rStyle w:val="style4097"/>
                <w:rFonts w:hAnsi="宋体" w:hint="eastAsia"/>
                <w:bCs/>
                <w:color w:val="auto"/>
                <w:szCs w:val="22"/>
              </w:rPr>
              <w:t>公司高度重视</w:t>
            </w:r>
            <w:r>
              <w:rPr>
                <w:rFonts w:hint="eastAsia"/>
                <w:color w:val="auto"/>
              </w:rPr>
              <w:t>以技术工艺迭代为基础的</w:t>
            </w:r>
            <w:r>
              <w:rPr>
                <w:rFonts w:hint="eastAsia"/>
                <w:color w:val="auto"/>
              </w:rPr>
              <w:t>提质量</w:t>
            </w:r>
            <w:r>
              <w:rPr>
                <w:rFonts w:hint="eastAsia"/>
                <w:color w:val="auto"/>
              </w:rPr>
              <w:t>扩容，</w:t>
            </w:r>
            <w:r>
              <w:rPr>
                <w:rFonts w:hint="eastAsia"/>
                <w:color w:val="auto"/>
              </w:rPr>
              <w:t>专门组建原料药研究团队，</w:t>
            </w:r>
            <w:r>
              <w:rPr>
                <w:rFonts w:hint="eastAsia"/>
                <w:color w:val="auto"/>
              </w:rPr>
              <w:t>仙</w:t>
            </w:r>
            <w:r>
              <w:rPr>
                <w:rFonts w:hint="eastAsia"/>
                <w:color w:val="auto"/>
              </w:rPr>
              <w:t>琚</w:t>
            </w:r>
            <w:r>
              <w:rPr>
                <w:rFonts w:hint="eastAsia"/>
                <w:color w:val="auto"/>
              </w:rPr>
              <w:t>（嘉兴）医药科技有限公司于近期开始正式运营，将充分依托公共服务平台优势，不断提升</w:t>
            </w:r>
            <w:r>
              <w:rPr>
                <w:rFonts w:hint="eastAsia"/>
                <w:color w:val="auto"/>
                <w:lang w:eastAsia="zh-CN"/>
              </w:rPr>
              <w:t>原料药</w:t>
            </w:r>
            <w:r>
              <w:rPr>
                <w:rFonts w:hint="eastAsia"/>
                <w:color w:val="auto"/>
              </w:rPr>
              <w:t>研发水平和高端市场的申报能力。</w:t>
            </w:r>
          </w:p>
          <w:p>
            <w:pPr>
              <w:pStyle w:val="style4106"/>
              <w:spacing w:lineRule="auto" w:line="360"/>
              <w:ind w:firstLine="480"/>
              <w:jc w:val="both"/>
              <w:rPr>
                <w:rStyle w:val="style4097"/>
                <w:rFonts w:hAnsi="宋体"/>
                <w:bCs/>
                <w:color w:val="auto"/>
                <w:szCs w:val="22"/>
              </w:rPr>
            </w:pPr>
            <w:r>
              <w:rPr>
                <w:rFonts w:hint="eastAsia"/>
                <w:color w:val="auto"/>
              </w:rPr>
              <w:t>公司</w:t>
            </w:r>
            <w:r>
              <w:rPr>
                <w:rFonts w:hint="eastAsia"/>
                <w:color w:val="auto"/>
              </w:rPr>
              <w:t>目前已尝试开展具有</w:t>
            </w:r>
            <w:r>
              <w:rPr>
                <w:rFonts w:hint="eastAsia"/>
                <w:color w:val="auto"/>
              </w:rPr>
              <w:t>甾体特色</w:t>
            </w:r>
            <w:r>
              <w:rPr>
                <w:rFonts w:hint="eastAsia"/>
                <w:color w:val="auto"/>
              </w:rPr>
              <w:t>的原料药定制业务。</w:t>
            </w:r>
          </w:p>
          <w:p>
            <w:pPr>
              <w:pStyle w:val="style0"/>
              <w:spacing w:lineRule="atLeast" w:line="480"/>
              <w:ind w:firstLine="480" w:firstLineChars="200"/>
              <w:rPr>
                <w:rStyle w:val="style4097"/>
                <w:rFonts w:ascii="宋体" w:hAnsi="宋体"/>
                <w:bCs/>
                <w:iCs/>
                <w:sz w:val="24"/>
                <w:szCs w:val="22"/>
              </w:rPr>
            </w:pPr>
          </w:p>
          <w:p>
            <w:pPr>
              <w:pStyle w:val="style0"/>
              <w:spacing w:lineRule="atLeast" w:line="480"/>
              <w:ind w:firstLine="480" w:firstLineChars="200"/>
              <w:rPr>
                <w:rStyle w:val="style4097"/>
                <w:rFonts w:ascii="宋体" w:hAnsi="宋体"/>
                <w:bCs/>
                <w:iCs/>
                <w:sz w:val="24"/>
                <w:szCs w:val="22"/>
              </w:rPr>
            </w:pPr>
          </w:p>
          <w:p>
            <w:pPr>
              <w:pStyle w:val="style0"/>
              <w:spacing w:lineRule="atLeast" w:line="480"/>
              <w:ind w:firstLine="480" w:firstLineChars="200"/>
              <w:rPr>
                <w:rFonts w:ascii="宋体" w:hAnsi="宋体"/>
                <w:bCs/>
                <w:iCs/>
                <w:sz w:val="24"/>
                <w:szCs w:val="22"/>
              </w:rPr>
            </w:pPr>
          </w:p>
        </w:tc>
      </w:tr>
      <w:tr>
        <w:tblPrEx/>
        <w:trPr/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tLeast" w:line="480"/>
              <w:rPr>
                <w:rStyle w:val="style4097"/>
                <w:rFonts w:ascii="宋体" w:hAnsi="宋体"/>
                <w:b/>
                <w:bCs/>
                <w:iCs/>
                <w:sz w:val="24"/>
              </w:rPr>
            </w:pPr>
            <w:r>
              <w:rPr>
                <w:rStyle w:val="style4097"/>
                <w:rFonts w:ascii="宋体" w:hAnsi="宋体"/>
                <w:b/>
                <w:bCs/>
                <w:iCs/>
                <w:sz w:val="24"/>
              </w:rPr>
              <w:t>附件清单</w:t>
            </w:r>
          </w:p>
          <w:p>
            <w:pPr>
              <w:pStyle w:val="style0"/>
              <w:spacing w:lineRule="atLeast" w:line="480"/>
              <w:rPr>
                <w:rStyle w:val="style4097"/>
                <w:rFonts w:ascii="宋体" w:hAnsi="宋体"/>
                <w:b/>
                <w:bCs/>
                <w:iCs/>
                <w:sz w:val="24"/>
              </w:rPr>
            </w:pPr>
            <w:r>
              <w:rPr>
                <w:rStyle w:val="style4097"/>
                <w:rFonts w:ascii="宋体" w:hAnsi="宋体"/>
                <w:b/>
                <w:bCs/>
                <w:iCs/>
                <w:sz w:val="24"/>
              </w:rPr>
              <w:t>（如有）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tLeast" w:line="480"/>
              <w:rPr>
                <w:rStyle w:val="style4097"/>
                <w:rFonts w:ascii="宋体" w:hAnsi="宋体"/>
                <w:bCs/>
                <w:iCs/>
                <w:sz w:val="24"/>
              </w:rPr>
            </w:pPr>
            <w:r>
              <w:rPr>
                <w:rStyle w:val="style4097"/>
                <w:rFonts w:ascii="宋体" w:hAnsi="宋体"/>
                <w:bCs/>
                <w:iCs/>
                <w:sz w:val="24"/>
              </w:rPr>
              <w:t>无</w:t>
            </w:r>
          </w:p>
        </w:tc>
      </w:tr>
      <w:tr>
        <w:tblPrEx/>
        <w:trPr/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tLeast" w:line="480"/>
              <w:rPr>
                <w:rStyle w:val="style4097"/>
                <w:rFonts w:ascii="宋体" w:hAnsi="宋体"/>
                <w:b/>
                <w:bCs/>
                <w:iCs/>
                <w:sz w:val="24"/>
              </w:rPr>
            </w:pPr>
            <w:r>
              <w:rPr>
                <w:rStyle w:val="style4097"/>
                <w:rFonts w:ascii="宋体" w:hAnsi="宋体"/>
                <w:b/>
                <w:bCs/>
                <w:iCs/>
                <w:sz w:val="24"/>
              </w:rPr>
              <w:t>日期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tLeast" w:line="480"/>
              <w:rPr>
                <w:rStyle w:val="style4097"/>
                <w:rFonts w:ascii="宋体" w:hAnsi="宋体"/>
                <w:bCs/>
                <w:iCs/>
                <w:sz w:val="24"/>
              </w:rPr>
            </w:pPr>
            <w:r>
              <w:rPr>
                <w:rStyle w:val="style4097"/>
                <w:rFonts w:ascii="宋体" w:hAnsi="宋体"/>
                <w:bCs/>
                <w:iCs/>
                <w:sz w:val="24"/>
              </w:rPr>
              <w:t>20</w:t>
            </w:r>
            <w:r>
              <w:rPr>
                <w:rStyle w:val="style4097"/>
                <w:rFonts w:ascii="宋体" w:hAnsi="宋体" w:hint="eastAsia"/>
                <w:bCs/>
                <w:iCs/>
                <w:sz w:val="24"/>
              </w:rPr>
              <w:t>21</w:t>
            </w:r>
            <w:r>
              <w:rPr>
                <w:rStyle w:val="style4097"/>
                <w:rFonts w:ascii="宋体" w:hAnsi="宋体"/>
                <w:bCs/>
                <w:iCs/>
                <w:sz w:val="24"/>
              </w:rPr>
              <w:t>年</w:t>
            </w:r>
            <w:r>
              <w:rPr>
                <w:rStyle w:val="style4097"/>
                <w:rFonts w:ascii="宋体" w:hAnsi="宋体" w:hint="eastAsia"/>
                <w:bCs/>
                <w:iCs/>
                <w:sz w:val="24"/>
              </w:rPr>
              <w:t>1</w:t>
            </w:r>
            <w:r>
              <w:rPr>
                <w:rStyle w:val="style4097"/>
                <w:rFonts w:ascii="宋体" w:hAnsi="宋体" w:hint="eastAsia"/>
                <w:bCs/>
                <w:iCs/>
                <w:sz w:val="24"/>
              </w:rPr>
              <w:t>2</w:t>
            </w:r>
            <w:r>
              <w:rPr>
                <w:rStyle w:val="style4097"/>
                <w:rFonts w:ascii="宋体" w:hAnsi="宋体"/>
                <w:bCs/>
                <w:iCs/>
                <w:sz w:val="24"/>
              </w:rPr>
              <w:t>月</w:t>
            </w:r>
            <w:r>
              <w:rPr>
                <w:rStyle w:val="style4097"/>
                <w:rFonts w:ascii="宋体" w:hAnsi="宋体" w:hint="eastAsia"/>
                <w:bCs/>
                <w:iCs/>
                <w:sz w:val="24"/>
              </w:rPr>
              <w:t>1</w:t>
            </w:r>
            <w:r>
              <w:rPr>
                <w:rStyle w:val="style4097"/>
                <w:rFonts w:ascii="宋体" w:hAnsi="宋体"/>
                <w:bCs/>
                <w:iCs/>
                <w:sz w:val="24"/>
              </w:rPr>
              <w:t>日</w:t>
            </w:r>
          </w:p>
        </w:tc>
      </w:tr>
    </w:tbl>
    <w:p>
      <w:pPr>
        <w:pStyle w:val="style0"/>
        <w:spacing w:lineRule="auto" w:line="360"/>
        <w:jc w:val="left"/>
        <w:rPr>
          <w:rStyle w:val="style4097"/>
          <w:rFonts w:ascii="宋体" w:hAnsi="宋体"/>
          <w:sz w:val="24"/>
        </w:rPr>
      </w:pPr>
    </w:p>
    <w:sectPr>
      <w:pgSz w:w="11906" w:h="16838" w:orient="portrait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Wingdings 2">
    <w:altName w:val="Wingdings 2"/>
    <w:panose1 w:val="050201020100000707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oNotUseMarginsForDrawingGridOrigin/>
  <w:drawingGridHorizontalOrigin w:val="1800"/>
  <w:drawingGridVerticalOrigin w:val="1440"/>
  <w:noPunctuationKerning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jc w:val="both"/>
      <w:textAlignment w:val="baseline"/>
    </w:pPr>
    <w:rPr>
      <w:rFonts w:ascii="Calibri" w:hAnsi="Calibri"/>
      <w:kern w:val="2"/>
      <w:sz w:val="21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105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104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94">
    <w:name w:val="Normal (Web)"/>
    <w:basedOn w:val="style0"/>
    <w:next w:val="style94"/>
    <w:qFormat/>
    <w:uiPriority w:val="99"/>
    <w:pPr>
      <w:spacing w:beforeAutospacing="true" w:afterAutospacing="true"/>
      <w:jc w:val="left"/>
    </w:pPr>
    <w:rPr>
      <w:kern w:val="0"/>
      <w:sz w:val="24"/>
    </w:rPr>
  </w:style>
  <w:style w:type="character" w:styleId="style87">
    <w:name w:val="Strong"/>
    <w:basedOn w:val="style65"/>
    <w:next w:val="style87"/>
    <w:qFormat/>
    <w:rPr>
      <w:b/>
    </w:rPr>
  </w:style>
  <w:style w:type="character" w:customStyle="1" w:styleId="style4097">
    <w:name w:val="NormalCharacter"/>
    <w:next w:val="style4097"/>
    <w:qFormat/>
  </w:style>
  <w:style w:type="table" w:customStyle="1" w:styleId="style4098">
    <w:name w:val="TableNormal"/>
    <w:next w:val="style4098"/>
    <w:qFormat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character" w:customStyle="1" w:styleId="style4099">
    <w:name w:val="UserStyle_0"/>
    <w:next w:val="style4099"/>
    <w:link w:val="style4100"/>
    <w:qFormat/>
    <w:rPr>
      <w:kern w:val="2"/>
      <w:sz w:val="18"/>
      <w:szCs w:val="18"/>
    </w:rPr>
  </w:style>
  <w:style w:type="paragraph" w:customStyle="1" w:styleId="style4100">
    <w:name w:val="页眉1"/>
    <w:basedOn w:val="style0"/>
    <w:next w:val="style4100"/>
    <w:link w:val="style4099"/>
    <w:qFormat/>
    <w:pPr>
      <w:pBdr>
        <w:bottom w:val="single" w:sz="6" w:space="1" w:color="000000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101">
    <w:name w:val="UserStyle_1"/>
    <w:next w:val="style4101"/>
    <w:link w:val="style4102"/>
    <w:qFormat/>
    <w:rPr>
      <w:kern w:val="2"/>
      <w:sz w:val="18"/>
      <w:szCs w:val="18"/>
    </w:rPr>
  </w:style>
  <w:style w:type="paragraph" w:customStyle="1" w:styleId="style4102">
    <w:name w:val="页脚1"/>
    <w:basedOn w:val="style0"/>
    <w:next w:val="style4102"/>
    <w:link w:val="style4101"/>
    <w:qFormat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customStyle="1" w:styleId="style4103">
    <w:name w:val="Acetate"/>
    <w:basedOn w:val="style0"/>
    <w:next w:val="style4103"/>
    <w:qFormat/>
    <w:pPr/>
    <w:rPr>
      <w:sz w:val="18"/>
      <w:szCs w:val="18"/>
    </w:rPr>
  </w:style>
  <w:style w:type="character" w:customStyle="1" w:styleId="style4104">
    <w:name w:val="页眉 Char"/>
    <w:basedOn w:val="style65"/>
    <w:next w:val="style4104"/>
    <w:link w:val="style31"/>
    <w:qFormat/>
    <w:uiPriority w:val="99"/>
    <w:rPr>
      <w:kern w:val="2"/>
      <w:sz w:val="18"/>
      <w:szCs w:val="18"/>
    </w:rPr>
  </w:style>
  <w:style w:type="character" w:customStyle="1" w:styleId="style4105">
    <w:name w:val="页脚 Char"/>
    <w:basedOn w:val="style65"/>
    <w:next w:val="style4105"/>
    <w:link w:val="style32"/>
    <w:qFormat/>
    <w:uiPriority w:val="99"/>
    <w:rPr>
      <w:kern w:val="2"/>
      <w:sz w:val="18"/>
      <w:szCs w:val="18"/>
    </w:rPr>
  </w:style>
  <w:style w:type="paragraph" w:styleId="style179">
    <w:name w:val="List Paragraph"/>
    <w:basedOn w:val="style0"/>
    <w:next w:val="style179"/>
    <w:qFormat/>
    <w:uiPriority w:val="99"/>
    <w:pPr>
      <w:ind w:firstLine="420" w:firstLineChars="200"/>
    </w:pPr>
    <w:rPr/>
  </w:style>
  <w:style w:type="paragraph" w:customStyle="1" w:styleId="style4106">
    <w:name w:val="Default"/>
    <w:next w:val="style4106"/>
    <w:qFormat/>
    <w:pPr>
      <w:widowControl w:val="false"/>
      <w:autoSpaceDE w:val="false"/>
      <w:autoSpaceDN w:val="false"/>
      <w:adjustRightInd w:val="false"/>
    </w:pPr>
    <w:rPr>
      <w:rFonts w:ascii="宋体" w:cs="宋体"/>
      <w:color w:val="000000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Words>2763</Words>
  <Pages>5</Pages>
  <Characters>2869</Characters>
  <Application>WPS Office</Application>
  <DocSecurity>0</DocSecurity>
  <Paragraphs>82</Paragraphs>
  <ScaleCrop>false</ScaleCrop>
  <LinksUpToDate>false</LinksUpToDate>
  <CharactersWithSpaces>3053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2019-10-30T07:33:00Z</dcterms:created>
  <dc:creator>XJ-CJ3-21</dc:creator>
  <lastModifiedBy>TAS-AL00</lastModifiedBy>
  <lastPrinted>2021-10-28T05:02:00Z</lastPrinted>
  <dcterms:modified xsi:type="dcterms:W3CDTF">2021-12-02T05:22:49Z</dcterms:modified>
  <revision>79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0C55491F7AFD404AB9BD75D0459757EB</vt:lpwstr>
  </property>
</Properties>
</file>