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after="156" w:line="400" w:lineRule="exact"/>
        <w:ind w:firstLine="720" w:firstLineChars="300"/>
        <w:rPr>
          <w:rStyle w:val="8"/>
          <w:rFonts w:ascii="宋体" w:hAnsi="宋体"/>
          <w:bCs/>
          <w:iCs/>
          <w:color w:val="000000"/>
          <w:sz w:val="24"/>
        </w:rPr>
      </w:pPr>
      <w:r>
        <w:rPr>
          <w:rStyle w:val="8"/>
          <w:rFonts w:ascii="宋体" w:hAnsi="宋体"/>
          <w:bCs/>
          <w:iCs/>
          <w:color w:val="000000"/>
          <w:sz w:val="24"/>
        </w:rPr>
        <w:t>证券代码：002332                  证券简称：仙琚制药</w:t>
      </w:r>
    </w:p>
    <w:p>
      <w:pPr>
        <w:spacing w:before="156" w:after="156" w:line="400" w:lineRule="exact"/>
        <w:ind w:firstLine="720" w:firstLineChars="300"/>
        <w:rPr>
          <w:rStyle w:val="8"/>
          <w:rFonts w:ascii="宋体" w:hAnsi="宋体"/>
          <w:bCs/>
          <w:iCs/>
          <w:color w:val="000000"/>
          <w:sz w:val="24"/>
        </w:rPr>
      </w:pPr>
    </w:p>
    <w:p>
      <w:pPr>
        <w:spacing w:before="156" w:after="156" w:line="400" w:lineRule="exact"/>
        <w:jc w:val="center"/>
        <w:rPr>
          <w:rStyle w:val="8"/>
          <w:rFonts w:ascii="宋体" w:hAnsi="宋体"/>
          <w:b/>
          <w:bCs/>
          <w:iCs/>
          <w:color w:val="000000"/>
          <w:sz w:val="32"/>
          <w:szCs w:val="32"/>
        </w:rPr>
      </w:pPr>
      <w:r>
        <w:rPr>
          <w:rStyle w:val="8"/>
          <w:rFonts w:ascii="宋体" w:hAnsi="宋体"/>
          <w:b/>
          <w:bCs/>
          <w:iCs/>
          <w:color w:val="000000"/>
          <w:sz w:val="32"/>
          <w:szCs w:val="32"/>
        </w:rPr>
        <w:t>浙江仙琚制药股份有限公司投资者关系活动记录表</w:t>
      </w:r>
    </w:p>
    <w:p>
      <w:pPr>
        <w:spacing w:line="400" w:lineRule="exact"/>
        <w:rPr>
          <w:rStyle w:val="8"/>
          <w:rFonts w:ascii="宋体" w:hAnsi="宋体"/>
          <w:bCs/>
          <w:iCs/>
          <w:color w:val="FF0000"/>
          <w:sz w:val="24"/>
        </w:rPr>
      </w:pPr>
      <w:r>
        <w:rPr>
          <w:rStyle w:val="8"/>
          <w:rFonts w:ascii="宋体" w:hAnsi="宋体"/>
          <w:bCs/>
          <w:iCs/>
          <w:color w:val="000000"/>
          <w:sz w:val="24"/>
        </w:rPr>
        <w:t xml:space="preserve">                                                      编号：20</w:t>
      </w:r>
      <w:r>
        <w:rPr>
          <w:rStyle w:val="8"/>
          <w:rFonts w:hint="eastAsia" w:ascii="宋体" w:hAnsi="宋体"/>
          <w:bCs/>
          <w:iCs/>
          <w:color w:val="000000"/>
          <w:sz w:val="24"/>
        </w:rPr>
        <w:t>21</w:t>
      </w:r>
      <w:r>
        <w:rPr>
          <w:rStyle w:val="8"/>
          <w:rFonts w:ascii="宋体" w:hAnsi="宋体"/>
          <w:bCs/>
          <w:iCs/>
          <w:color w:val="000000"/>
          <w:sz w:val="24"/>
        </w:rPr>
        <w:t>-0</w:t>
      </w:r>
      <w:r>
        <w:rPr>
          <w:rStyle w:val="8"/>
          <w:rFonts w:hint="eastAsia" w:ascii="宋体" w:hAnsi="宋体"/>
          <w:bCs/>
          <w:iCs/>
          <w:color w:val="000000"/>
          <w:sz w:val="24"/>
        </w:rPr>
        <w:t>10</w:t>
      </w:r>
    </w:p>
    <w:tbl>
      <w:tblPr>
        <w:tblStyle w:val="5"/>
        <w:tblW w:w="802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6"/>
        <w:gridCol w:w="6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
                <w:bCs/>
                <w:iCs/>
                <w:color w:val="000000"/>
                <w:sz w:val="24"/>
              </w:rPr>
            </w:pPr>
            <w:r>
              <w:rPr>
                <w:rStyle w:val="8"/>
                <w:rFonts w:ascii="宋体" w:hAnsi="宋体"/>
                <w:b/>
                <w:bCs/>
                <w:iCs/>
                <w:color w:val="000000"/>
                <w:sz w:val="24"/>
              </w:rPr>
              <w:t>投资者关系</w:t>
            </w:r>
          </w:p>
          <w:p>
            <w:pPr>
              <w:spacing w:line="480" w:lineRule="atLeast"/>
              <w:rPr>
                <w:rStyle w:val="8"/>
                <w:rFonts w:ascii="宋体" w:hAnsi="宋体"/>
                <w:b/>
                <w:bCs/>
                <w:iCs/>
                <w:color w:val="000000"/>
                <w:sz w:val="24"/>
              </w:rPr>
            </w:pPr>
            <w:r>
              <w:rPr>
                <w:rStyle w:val="8"/>
                <w:rFonts w:ascii="宋体" w:hAnsi="宋体"/>
                <w:b/>
                <w:bCs/>
                <w:iCs/>
                <w:color w:val="000000"/>
                <w:sz w:val="24"/>
              </w:rPr>
              <w:t>活动类别</w:t>
            </w:r>
          </w:p>
          <w:p>
            <w:pPr>
              <w:spacing w:line="480" w:lineRule="atLeast"/>
              <w:rPr>
                <w:rStyle w:val="8"/>
                <w:rFonts w:ascii="宋体" w:hAnsi="宋体"/>
                <w:b/>
                <w:bCs/>
                <w:iCs/>
                <w:color w:val="000000"/>
                <w:sz w:val="24"/>
              </w:rPr>
            </w:pP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Cs/>
                <w:iCs/>
                <w:color w:val="000000"/>
                <w:sz w:val="24"/>
              </w:rPr>
            </w:pPr>
            <w:r>
              <w:rPr>
                <w:rStyle w:val="8"/>
                <w:rFonts w:ascii="宋体" w:hAnsi="宋体"/>
                <w:bCs/>
                <w:iCs/>
                <w:color w:val="000000"/>
                <w:sz w:val="24"/>
              </w:rPr>
              <w:sym w:font="Wingdings 2" w:char="0052"/>
            </w:r>
            <w:r>
              <w:rPr>
                <w:rStyle w:val="8"/>
                <w:rFonts w:ascii="宋体" w:hAnsi="宋体"/>
                <w:iCs/>
                <w:sz w:val="24"/>
              </w:rPr>
              <w:t xml:space="preserve">特定对象调研       </w:t>
            </w:r>
            <w:r>
              <w:rPr>
                <w:rStyle w:val="8"/>
                <w:rFonts w:ascii="宋体" w:hAnsi="宋体"/>
                <w:bCs/>
                <w:iCs/>
                <w:color w:val="000000"/>
                <w:sz w:val="24"/>
              </w:rPr>
              <w:t>□</w:t>
            </w:r>
            <w:r>
              <w:rPr>
                <w:rStyle w:val="8"/>
                <w:rFonts w:ascii="宋体" w:hAnsi="宋体"/>
                <w:iCs/>
                <w:sz w:val="24"/>
              </w:rPr>
              <w:t>分析师会议</w:t>
            </w:r>
          </w:p>
          <w:p>
            <w:pPr>
              <w:spacing w:line="480" w:lineRule="atLeast"/>
              <w:rPr>
                <w:rStyle w:val="8"/>
                <w:rFonts w:ascii="宋体" w:hAnsi="宋体"/>
                <w:bCs/>
                <w:iCs/>
                <w:color w:val="000000"/>
                <w:sz w:val="24"/>
              </w:rPr>
            </w:pPr>
            <w:r>
              <w:rPr>
                <w:rStyle w:val="8"/>
                <w:rFonts w:ascii="宋体" w:hAnsi="宋体"/>
                <w:bCs/>
                <w:iCs/>
                <w:color w:val="000000"/>
                <w:sz w:val="24"/>
              </w:rPr>
              <w:sym w:font="Wingdings 2" w:char="00A3"/>
            </w:r>
            <w:r>
              <w:rPr>
                <w:rStyle w:val="8"/>
                <w:rFonts w:ascii="宋体" w:hAnsi="宋体"/>
                <w:iCs/>
                <w:sz w:val="24"/>
              </w:rPr>
              <w:t xml:space="preserve">媒体采访           </w:t>
            </w:r>
            <w:r>
              <w:rPr>
                <w:rStyle w:val="8"/>
                <w:rFonts w:ascii="宋体" w:hAnsi="宋体"/>
                <w:bCs/>
                <w:iCs/>
                <w:color w:val="000000"/>
                <w:sz w:val="24"/>
              </w:rPr>
              <w:t>□</w:t>
            </w:r>
            <w:r>
              <w:rPr>
                <w:rStyle w:val="8"/>
                <w:rFonts w:ascii="宋体" w:hAnsi="宋体"/>
                <w:iCs/>
                <w:sz w:val="24"/>
              </w:rPr>
              <w:t>业绩说明会</w:t>
            </w:r>
          </w:p>
          <w:p>
            <w:pPr>
              <w:spacing w:line="480" w:lineRule="atLeast"/>
              <w:rPr>
                <w:rStyle w:val="8"/>
                <w:rFonts w:ascii="宋体" w:hAnsi="宋体"/>
                <w:bCs/>
                <w:iCs/>
                <w:color w:val="000000"/>
                <w:sz w:val="24"/>
              </w:rPr>
            </w:pPr>
            <w:r>
              <w:rPr>
                <w:rStyle w:val="8"/>
                <w:rFonts w:ascii="宋体" w:hAnsi="宋体"/>
                <w:bCs/>
                <w:iCs/>
                <w:color w:val="000000"/>
                <w:sz w:val="24"/>
              </w:rPr>
              <w:t>□</w:t>
            </w:r>
            <w:r>
              <w:rPr>
                <w:rStyle w:val="8"/>
                <w:rFonts w:ascii="宋体" w:hAnsi="宋体"/>
                <w:iCs/>
                <w:sz w:val="24"/>
              </w:rPr>
              <w:t xml:space="preserve">新闻发布会         </w:t>
            </w:r>
            <w:r>
              <w:rPr>
                <w:rStyle w:val="8"/>
                <w:rFonts w:ascii="宋体" w:hAnsi="宋体"/>
                <w:bCs/>
                <w:iCs/>
                <w:color w:val="000000"/>
                <w:sz w:val="24"/>
              </w:rPr>
              <w:t>□</w:t>
            </w:r>
            <w:r>
              <w:rPr>
                <w:rStyle w:val="8"/>
                <w:rFonts w:ascii="宋体" w:hAnsi="宋体"/>
                <w:iCs/>
                <w:sz w:val="24"/>
              </w:rPr>
              <w:t>路演活动</w:t>
            </w:r>
          </w:p>
          <w:p>
            <w:pPr>
              <w:tabs>
                <w:tab w:val="center" w:pos="3199"/>
              </w:tabs>
              <w:spacing w:line="480" w:lineRule="atLeast"/>
              <w:rPr>
                <w:rStyle w:val="8"/>
                <w:rFonts w:ascii="宋体" w:hAnsi="宋体"/>
                <w:bCs/>
                <w:iCs/>
                <w:color w:val="000000"/>
                <w:sz w:val="24"/>
              </w:rPr>
            </w:pPr>
            <w:r>
              <w:rPr>
                <w:rStyle w:val="8"/>
                <w:rFonts w:ascii="宋体" w:hAnsi="宋体"/>
                <w:bCs/>
                <w:iCs/>
                <w:color w:val="000000"/>
                <w:sz w:val="24"/>
              </w:rPr>
              <w:sym w:font="Wingdings 2" w:char="00A3"/>
            </w:r>
            <w:r>
              <w:rPr>
                <w:rStyle w:val="8"/>
                <w:rFonts w:ascii="宋体" w:hAnsi="宋体"/>
                <w:iCs/>
                <w:sz w:val="24"/>
              </w:rPr>
              <w:t>现场参观</w:t>
            </w:r>
            <w:r>
              <w:rPr>
                <w:rStyle w:val="8"/>
                <w:rFonts w:hint="eastAsia" w:ascii="宋体" w:hAnsi="宋体"/>
                <w:iCs/>
                <w:sz w:val="24"/>
              </w:rPr>
              <w:t xml:space="preserve">           </w:t>
            </w:r>
            <w:r>
              <w:rPr>
                <w:rStyle w:val="8"/>
                <w:rFonts w:ascii="宋体" w:hAnsi="宋体"/>
                <w:bCs/>
                <w:iCs/>
                <w:color w:val="000000"/>
                <w:sz w:val="24"/>
              </w:rPr>
              <w:sym w:font="Wingdings 2" w:char="00A3"/>
            </w:r>
            <w:r>
              <w:rPr>
                <w:rStyle w:val="8"/>
                <w:rFonts w:ascii="宋体" w:hAnsi="宋体"/>
                <w:iCs/>
                <w:sz w:val="24"/>
              </w:rPr>
              <w:t xml:space="preserve">其他 </w:t>
            </w:r>
            <w:r>
              <w:rPr>
                <w:rStyle w:val="8"/>
                <w:rFonts w:ascii="宋体" w:hAnsi="宋体"/>
                <w:iCs/>
                <w:sz w:val="24"/>
                <w:szCs w:val="22"/>
              </w:rPr>
              <w:t>电话会议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
                <w:bCs/>
                <w:iCs/>
                <w:color w:val="000000"/>
                <w:sz w:val="24"/>
              </w:rPr>
            </w:pPr>
            <w:r>
              <w:rPr>
                <w:rStyle w:val="8"/>
                <w:rFonts w:ascii="宋体" w:hAnsi="宋体"/>
                <w:b/>
                <w:bCs/>
                <w:iCs/>
                <w:color w:val="000000"/>
                <w:sz w:val="24"/>
              </w:rPr>
              <w:t>参与单位名称</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iCs/>
                <w:color w:val="auto"/>
                <w:sz w:val="24"/>
              </w:rPr>
            </w:pPr>
            <w:r>
              <w:rPr>
                <w:rStyle w:val="8"/>
                <w:rFonts w:hint="eastAsia" w:ascii="宋体" w:hAnsi="宋体"/>
                <w:iCs/>
                <w:color w:val="auto"/>
                <w:sz w:val="24"/>
              </w:rPr>
              <w:t xml:space="preserve">兴业证券    东兴证券   上投摩根   广银理财  </w:t>
            </w:r>
          </w:p>
          <w:p>
            <w:pPr>
              <w:spacing w:line="480" w:lineRule="atLeast"/>
              <w:rPr>
                <w:rStyle w:val="8"/>
                <w:rFonts w:ascii="宋体" w:hAnsi="宋体"/>
                <w:iCs/>
                <w:color w:val="auto"/>
                <w:sz w:val="24"/>
              </w:rPr>
            </w:pPr>
            <w:r>
              <w:rPr>
                <w:rStyle w:val="8"/>
                <w:rFonts w:hint="eastAsia" w:ascii="宋体" w:hAnsi="宋体"/>
                <w:iCs/>
                <w:color w:val="auto"/>
                <w:sz w:val="24"/>
              </w:rPr>
              <w:t>神农投资    国投瑞银   浙商基金   同泰基金</w:t>
            </w:r>
          </w:p>
          <w:p>
            <w:pPr>
              <w:spacing w:line="480" w:lineRule="atLeast"/>
              <w:rPr>
                <w:rStyle w:val="8"/>
                <w:rFonts w:ascii="宋体" w:hAnsi="宋体"/>
                <w:iCs/>
                <w:color w:val="auto"/>
                <w:sz w:val="24"/>
              </w:rPr>
            </w:pPr>
            <w:r>
              <w:rPr>
                <w:rStyle w:val="8"/>
                <w:rFonts w:hint="eastAsia" w:ascii="宋体" w:hAnsi="宋体"/>
                <w:iCs/>
                <w:color w:val="auto"/>
                <w:sz w:val="24"/>
              </w:rPr>
              <w:t>泽源资管    君和资本   平安资管   融通基金</w:t>
            </w:r>
          </w:p>
          <w:p>
            <w:pPr>
              <w:spacing w:line="480" w:lineRule="atLeast"/>
              <w:rPr>
                <w:rStyle w:val="8"/>
                <w:rFonts w:hint="eastAsia" w:ascii="宋体" w:hAnsi="宋体"/>
                <w:iCs/>
                <w:color w:val="auto"/>
                <w:sz w:val="24"/>
              </w:rPr>
            </w:pPr>
            <w:r>
              <w:rPr>
                <w:rStyle w:val="8"/>
                <w:rFonts w:hint="eastAsia" w:ascii="宋体" w:hAnsi="宋体"/>
                <w:iCs/>
                <w:color w:val="auto"/>
                <w:sz w:val="24"/>
              </w:rPr>
              <w:t>荷宝投资    杉树资产</w:t>
            </w:r>
            <w:r>
              <w:rPr>
                <w:rStyle w:val="8"/>
                <w:rFonts w:hint="eastAsia" w:ascii="宋体" w:hAnsi="宋体"/>
                <w:iCs/>
                <w:color w:val="auto"/>
                <w:sz w:val="24"/>
                <w:lang w:val="en-US" w:eastAsia="zh-CN"/>
              </w:rPr>
              <w:t xml:space="preserve">   </w:t>
            </w:r>
            <w:bookmarkStart w:id="0" w:name="_GoBack"/>
            <w:bookmarkEnd w:id="0"/>
            <w:r>
              <w:rPr>
                <w:rStyle w:val="8"/>
                <w:rFonts w:hint="eastAsia" w:ascii="宋体" w:hAnsi="宋体"/>
                <w:iCs/>
                <w:color w:val="auto"/>
                <w:sz w:val="24"/>
              </w:rPr>
              <w:t xml:space="preserve">之加歌投管  </w:t>
            </w:r>
            <w:r>
              <w:rPr>
                <w:rStyle w:val="8"/>
                <w:rFonts w:ascii="宋体" w:hAnsi="宋体"/>
                <w:iCs/>
                <w:color w:val="auto"/>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
                <w:bCs/>
                <w:iCs/>
                <w:sz w:val="24"/>
              </w:rPr>
            </w:pPr>
            <w:r>
              <w:rPr>
                <w:rStyle w:val="8"/>
                <w:rFonts w:ascii="宋体" w:hAnsi="宋体"/>
                <w:b/>
                <w:bCs/>
                <w:iCs/>
                <w:sz w:val="24"/>
              </w:rPr>
              <w:t>时间</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Cs/>
                <w:iCs/>
                <w:color w:val="auto"/>
                <w:sz w:val="24"/>
              </w:rPr>
            </w:pPr>
            <w:r>
              <w:rPr>
                <w:rStyle w:val="8"/>
                <w:rFonts w:ascii="宋体" w:hAnsi="宋体"/>
                <w:bCs/>
                <w:iCs/>
                <w:color w:val="auto"/>
                <w:sz w:val="24"/>
              </w:rPr>
              <w:t>20</w:t>
            </w:r>
            <w:r>
              <w:rPr>
                <w:rStyle w:val="8"/>
                <w:rFonts w:hint="eastAsia" w:ascii="宋体" w:hAnsi="宋体"/>
                <w:bCs/>
                <w:iCs/>
                <w:color w:val="auto"/>
                <w:sz w:val="24"/>
              </w:rPr>
              <w:t>21</w:t>
            </w:r>
            <w:r>
              <w:rPr>
                <w:rStyle w:val="8"/>
                <w:rFonts w:ascii="宋体" w:hAnsi="宋体"/>
                <w:bCs/>
                <w:iCs/>
                <w:color w:val="auto"/>
                <w:sz w:val="24"/>
              </w:rPr>
              <w:t>年</w:t>
            </w:r>
            <w:r>
              <w:rPr>
                <w:rStyle w:val="8"/>
                <w:rFonts w:hint="eastAsia" w:ascii="宋体" w:hAnsi="宋体"/>
                <w:bCs/>
                <w:iCs/>
                <w:color w:val="auto"/>
                <w:sz w:val="24"/>
              </w:rPr>
              <w:t>11</w:t>
            </w:r>
            <w:r>
              <w:rPr>
                <w:rStyle w:val="8"/>
                <w:rFonts w:ascii="宋体" w:hAnsi="宋体"/>
                <w:bCs/>
                <w:iCs/>
                <w:color w:val="auto"/>
                <w:sz w:val="24"/>
              </w:rPr>
              <w:t>月</w:t>
            </w:r>
            <w:r>
              <w:rPr>
                <w:rStyle w:val="8"/>
                <w:rFonts w:hint="eastAsia" w:ascii="宋体" w:hAnsi="宋体"/>
                <w:bCs/>
                <w:iCs/>
                <w:color w:val="auto"/>
                <w:sz w:val="24"/>
              </w:rPr>
              <w:t>25</w:t>
            </w:r>
            <w:r>
              <w:rPr>
                <w:rStyle w:val="8"/>
                <w:rFonts w:ascii="宋体" w:hAnsi="宋体"/>
                <w:bCs/>
                <w:iCs/>
                <w:color w:val="auto"/>
                <w:sz w:val="24"/>
              </w:rPr>
              <w:t>日</w:t>
            </w:r>
            <w:r>
              <w:rPr>
                <w:rStyle w:val="8"/>
                <w:rFonts w:hint="eastAsia" w:ascii="宋体" w:hAnsi="宋体"/>
                <w:bCs/>
                <w:iCs/>
                <w:color w:val="auto"/>
                <w:sz w:val="24"/>
              </w:rPr>
              <w:t>下午14:00-16:00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
                <w:bCs/>
                <w:iCs/>
                <w:sz w:val="24"/>
              </w:rPr>
            </w:pPr>
            <w:r>
              <w:rPr>
                <w:rStyle w:val="8"/>
                <w:rFonts w:ascii="宋体" w:hAnsi="宋体"/>
                <w:b/>
                <w:bCs/>
                <w:iCs/>
                <w:sz w:val="24"/>
              </w:rPr>
              <w:t>地点</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Cs/>
                <w:iCs/>
                <w:color w:val="auto"/>
                <w:sz w:val="24"/>
              </w:rPr>
            </w:pPr>
            <w:r>
              <w:rPr>
                <w:rStyle w:val="8"/>
                <w:rFonts w:ascii="宋体" w:hAnsi="宋体"/>
                <w:bCs/>
                <w:iCs/>
                <w:color w:val="auto"/>
                <w:sz w:val="24"/>
              </w:rPr>
              <w:t>浙江仙琚制药股份有限公司会议室</w:t>
            </w:r>
            <w:r>
              <w:rPr>
                <w:rStyle w:val="8"/>
                <w:rFonts w:hint="eastAsia" w:ascii="宋体" w:hAnsi="宋体"/>
                <w:bCs/>
                <w:iCs/>
                <w:color w:val="auto"/>
                <w:sz w:val="24"/>
              </w:rPr>
              <w:t>（现场会议）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
                <w:bCs/>
                <w:iCs/>
                <w:sz w:val="24"/>
              </w:rPr>
            </w:pPr>
            <w:r>
              <w:rPr>
                <w:rStyle w:val="8"/>
                <w:rFonts w:ascii="宋体" w:hAnsi="宋体"/>
                <w:b/>
                <w:bCs/>
                <w:iCs/>
                <w:sz w:val="24"/>
              </w:rPr>
              <w:t>上市公司接待人员姓名</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Cs/>
                <w:iCs/>
                <w:color w:val="auto"/>
                <w:sz w:val="24"/>
              </w:rPr>
            </w:pPr>
            <w:r>
              <w:rPr>
                <w:rStyle w:val="8"/>
                <w:rFonts w:ascii="宋体" w:hAnsi="宋体"/>
                <w:bCs/>
                <w:iCs/>
                <w:color w:val="auto"/>
                <w:sz w:val="24"/>
              </w:rPr>
              <w:t>董事会秘书    张王伟</w:t>
            </w:r>
          </w:p>
          <w:p>
            <w:pPr>
              <w:spacing w:line="480" w:lineRule="atLeast"/>
              <w:rPr>
                <w:rStyle w:val="8"/>
                <w:rFonts w:ascii="宋体" w:hAnsi="宋体"/>
                <w:bCs/>
                <w:iCs/>
                <w:color w:val="auto"/>
                <w:sz w:val="24"/>
              </w:rPr>
            </w:pPr>
            <w:r>
              <w:rPr>
                <w:rStyle w:val="8"/>
                <w:rFonts w:ascii="宋体" w:hAnsi="宋体"/>
                <w:bCs/>
                <w:iCs/>
                <w:color w:val="auto"/>
                <w:sz w:val="24"/>
              </w:rPr>
              <w:t xml:space="preserve">证券事务代表  </w:t>
            </w:r>
            <w:r>
              <w:rPr>
                <w:rStyle w:val="8"/>
                <w:rFonts w:hint="eastAsia" w:ascii="宋体" w:hAnsi="宋体"/>
                <w:bCs/>
                <w:iCs/>
                <w:color w:val="auto"/>
                <w:sz w:val="24"/>
              </w:rPr>
              <w:t>沈旭红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766"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8"/>
                <w:rFonts w:ascii="宋体" w:hAnsi="宋体"/>
                <w:b/>
                <w:bCs/>
                <w:iCs/>
                <w:sz w:val="24"/>
              </w:rPr>
            </w:pPr>
            <w:r>
              <w:rPr>
                <w:rStyle w:val="8"/>
                <w:rFonts w:ascii="宋体" w:hAnsi="宋体"/>
                <w:b/>
                <w:bCs/>
                <w:iCs/>
                <w:sz w:val="24"/>
              </w:rPr>
              <w:t>投资者关系活动主要内容介绍</w:t>
            </w:r>
          </w:p>
          <w:p>
            <w:pPr>
              <w:spacing w:line="480" w:lineRule="atLeast"/>
              <w:rPr>
                <w:rStyle w:val="8"/>
                <w:rFonts w:ascii="宋体" w:hAnsi="宋体"/>
                <w:b/>
                <w:bCs/>
                <w:iCs/>
                <w:sz w:val="24"/>
              </w:rPr>
            </w:pPr>
          </w:p>
        </w:tc>
        <w:tc>
          <w:tcPr>
            <w:tcW w:w="6261" w:type="dxa"/>
            <w:tcBorders>
              <w:top w:val="single" w:color="000000" w:sz="4" w:space="0"/>
              <w:left w:val="single" w:color="000000" w:sz="4" w:space="0"/>
              <w:bottom w:val="single" w:color="000000" w:sz="4" w:space="0"/>
              <w:right w:val="single" w:color="000000" w:sz="4" w:space="0"/>
            </w:tcBorders>
          </w:tcPr>
          <w:p>
            <w:pPr>
              <w:spacing w:line="360" w:lineRule="auto"/>
              <w:ind w:firstLine="482" w:firstLineChars="200"/>
              <w:jc w:val="left"/>
              <w:rPr>
                <w:rFonts w:ascii="宋体" w:hAnsi="宋体" w:cs="宋体"/>
                <w:b/>
                <w:bCs/>
                <w:iCs/>
                <w:color w:val="auto"/>
                <w:sz w:val="24"/>
                <w:lang w:val="zh-CN"/>
              </w:rPr>
            </w:pPr>
            <w:r>
              <w:rPr>
                <w:rFonts w:hint="eastAsia" w:ascii="宋体" w:hAnsi="宋体" w:cs="宋体"/>
                <w:b/>
                <w:bCs/>
                <w:iCs/>
                <w:color w:val="auto"/>
                <w:sz w:val="24"/>
              </w:rPr>
              <w:t>1、</w:t>
            </w:r>
            <w:r>
              <w:rPr>
                <w:rFonts w:hint="eastAsia" w:ascii="宋体" w:hAnsi="宋体" w:cs="宋体"/>
                <w:b/>
                <w:bCs/>
                <w:iCs/>
                <w:color w:val="auto"/>
                <w:sz w:val="24"/>
                <w:lang w:val="zh-CN"/>
              </w:rPr>
              <w:t>公司制剂业务的情况</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呼吸科产品：今年依然保持了高</w:t>
            </w:r>
            <w:r>
              <w:rPr>
                <w:rFonts w:hint="eastAsia" w:ascii="宋体" w:hAnsi="宋体" w:cs="宋体"/>
                <w:iCs/>
                <w:color w:val="auto"/>
                <w:sz w:val="24"/>
                <w:lang w:val="zh-CN" w:eastAsia="zh-CN"/>
              </w:rPr>
              <w:t>增</w:t>
            </w:r>
            <w:r>
              <w:rPr>
                <w:rFonts w:hint="eastAsia" w:ascii="宋体" w:hAnsi="宋体" w:cs="宋体"/>
                <w:iCs/>
                <w:color w:val="auto"/>
                <w:sz w:val="24"/>
                <w:lang w:val="zh-CN"/>
              </w:rPr>
              <w:t>长。主要来自于糠酸莫米松鼻喷剂和噻托溴铵粉雾剂两个品种的增长。</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麻醉肌松产品：罗库溴铵注射液前三季度增长较快，目前仍有时间窗口做市场的覆盖和布局。麻醉类的盐酸罗哌卡因注射液，入围第</w:t>
            </w:r>
            <w:r>
              <w:rPr>
                <w:rFonts w:hint="eastAsia" w:ascii="宋体" w:hAnsi="宋体" w:cs="宋体"/>
                <w:iCs/>
                <w:color w:val="auto"/>
                <w:sz w:val="24"/>
              </w:rPr>
              <w:t>5批国家集采</w:t>
            </w:r>
            <w:r>
              <w:rPr>
                <w:rFonts w:hint="eastAsia" w:ascii="宋体" w:hAnsi="宋体" w:cs="宋体"/>
                <w:iCs/>
                <w:color w:val="auto"/>
                <w:sz w:val="24"/>
                <w:lang w:val="zh-CN"/>
              </w:rPr>
              <w:t>，从销售端的反馈来看，销量大幅提升。公司麻醉肌松类原料药集采之前为自用，集采后的此类原料药开始外售，有足够的增长潜力。</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妇科产品：黄体酮胶囊是公司目前妇科类主力产品，但公司也做了该产品集采后的接力产品储备。黄体酮软胶囊研发顺利推进，黄体酮凝胶准备正式B</w:t>
            </w:r>
            <w:r>
              <w:rPr>
                <w:rFonts w:ascii="宋体" w:hAnsi="宋体" w:cs="宋体"/>
                <w:iCs/>
                <w:color w:val="auto"/>
                <w:sz w:val="24"/>
                <w:lang w:val="zh-CN"/>
              </w:rPr>
              <w:t>E</w:t>
            </w:r>
            <w:r>
              <w:rPr>
                <w:rFonts w:hint="eastAsia" w:ascii="宋体" w:hAnsi="宋体" w:cs="宋体"/>
                <w:iCs/>
                <w:color w:val="auto"/>
                <w:sz w:val="24"/>
                <w:lang w:val="zh-CN"/>
              </w:rPr>
              <w:t>。另外公司开展很多妇科小而美的产品的开发，比如屈螺酮炔䧳醇片、戊酸雌二醇片等。</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皮肤科产品：主要通过OTC的渠道在做，主要产品糠酸莫米松乳膏、曲安奈德益康唑乳膏等，目前不受集采影响，近年保持一个较好的增长。</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普药产品：普药是仙琚制药的利基，总体保持</w:t>
            </w:r>
            <w:r>
              <w:rPr>
                <w:rFonts w:hint="eastAsia" w:ascii="宋体" w:hAnsi="宋体" w:cs="宋体"/>
                <w:iCs/>
                <w:color w:val="auto"/>
                <w:sz w:val="24"/>
              </w:rPr>
              <w:t>10%左右的增速。</w:t>
            </w:r>
            <w:r>
              <w:rPr>
                <w:rFonts w:hint="eastAsia" w:ascii="宋体" w:hAnsi="宋体" w:cs="宋体"/>
                <w:iCs/>
                <w:color w:val="auto"/>
                <w:sz w:val="24"/>
                <w:lang w:val="zh-CN"/>
              </w:rPr>
              <w:t>普药价格低、量大，消耗原料药多，如果原料药价跌，普药制剂端业绩弹性体现；若原料药涨价，原料药端业绩将弹性体现。</w:t>
            </w:r>
          </w:p>
          <w:p>
            <w:pPr>
              <w:autoSpaceDE w:val="0"/>
              <w:autoSpaceDN w:val="0"/>
              <w:adjustRightInd w:val="0"/>
              <w:spacing w:line="360" w:lineRule="auto"/>
              <w:jc w:val="left"/>
              <w:rPr>
                <w:rFonts w:ascii="宋体" w:hAnsi="宋体" w:cs="宋体"/>
                <w:iCs/>
                <w:color w:val="auto"/>
                <w:sz w:val="24"/>
                <w:lang w:val="zh-CN"/>
              </w:rPr>
            </w:pPr>
          </w:p>
          <w:p>
            <w:pPr>
              <w:spacing w:line="480" w:lineRule="atLeast"/>
              <w:ind w:firstLine="482" w:firstLineChars="200"/>
              <w:rPr>
                <w:rStyle w:val="8"/>
                <w:rFonts w:ascii="宋体" w:hAnsi="宋体"/>
                <w:b/>
                <w:bCs/>
                <w:iCs/>
                <w:color w:val="auto"/>
                <w:sz w:val="24"/>
                <w:szCs w:val="22"/>
              </w:rPr>
            </w:pPr>
            <w:r>
              <w:rPr>
                <w:rStyle w:val="8"/>
                <w:rFonts w:hint="eastAsia" w:ascii="宋体" w:hAnsi="宋体"/>
                <w:b/>
                <w:bCs/>
                <w:iCs/>
                <w:color w:val="auto"/>
                <w:sz w:val="24"/>
                <w:szCs w:val="22"/>
              </w:rPr>
              <w:t>2、集采对公司未来发展有多大的影响</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公司的产品若纳入集采，主要是麻醉肌松制剂产品的收入端可能会有影响。顺阿曲库铵集采影响从二季度已经开始体现。公司顺阿曲库铵原料药从原先的单纯自已供给自己开始转化为同时对外销售。</w:t>
            </w:r>
          </w:p>
          <w:p>
            <w:pPr>
              <w:autoSpaceDE w:val="0"/>
              <w:autoSpaceDN w:val="0"/>
              <w:adjustRightInd w:val="0"/>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盐酸罗哌卡因注射液入围第</w:t>
            </w:r>
            <w:r>
              <w:rPr>
                <w:rFonts w:hint="eastAsia" w:ascii="宋体" w:hAnsi="宋体" w:cs="宋体"/>
                <w:iCs/>
                <w:color w:val="auto"/>
                <w:sz w:val="24"/>
              </w:rPr>
              <w:t>5批国家集采</w:t>
            </w:r>
            <w:r>
              <w:rPr>
                <w:rFonts w:hint="eastAsia" w:ascii="宋体" w:hAnsi="宋体" w:cs="宋体"/>
                <w:iCs/>
                <w:color w:val="auto"/>
                <w:sz w:val="24"/>
                <w:lang w:val="zh-CN"/>
              </w:rPr>
              <w:t>后销量上体现出大幅提升。</w:t>
            </w:r>
          </w:p>
          <w:p>
            <w:pPr>
              <w:autoSpaceDE w:val="0"/>
              <w:autoSpaceDN w:val="0"/>
              <w:adjustRightInd w:val="0"/>
              <w:spacing w:line="360" w:lineRule="auto"/>
              <w:ind w:firstLine="480" w:firstLineChars="200"/>
              <w:jc w:val="left"/>
              <w:rPr>
                <w:rFonts w:ascii="宋体" w:hAnsi="宋体" w:cs="宋体"/>
                <w:iCs/>
                <w:color w:val="auto"/>
                <w:sz w:val="24"/>
              </w:rPr>
            </w:pPr>
            <w:r>
              <w:rPr>
                <w:rFonts w:hint="eastAsia" w:ascii="宋体" w:hAnsi="宋体" w:cs="宋体"/>
                <w:iCs/>
                <w:color w:val="auto"/>
                <w:sz w:val="24"/>
                <w:lang w:val="zh-CN"/>
              </w:rPr>
              <w:t>米索前列醇片应用领域小而专，国内生产厂家主要为仙琚制药、紫竹药业、人福药业，进入集采也是这三家企业，生产厂家相对固定，用药稳定。</w:t>
            </w:r>
          </w:p>
          <w:p>
            <w:pPr>
              <w:spacing w:line="360" w:lineRule="auto"/>
              <w:ind w:firstLine="480" w:firstLineChars="200"/>
              <w:jc w:val="left"/>
              <w:rPr>
                <w:rFonts w:ascii="宋体" w:hAnsi="宋体" w:cs="宋体"/>
                <w:iCs/>
                <w:color w:val="auto"/>
                <w:sz w:val="24"/>
                <w:lang w:val="zh-CN"/>
              </w:rPr>
            </w:pPr>
            <w:r>
              <w:rPr>
                <w:rFonts w:hint="eastAsia" w:ascii="宋体" w:hAnsi="宋体" w:cs="宋体"/>
                <w:iCs/>
                <w:color w:val="auto"/>
                <w:sz w:val="24"/>
                <w:lang w:val="zh-CN"/>
              </w:rPr>
              <w:t>基于公司的产品具有多品类、小品种的竞争特点，而且有原料药与制剂一体化的优势，集采影响相对中性。公司将努力加快产品开发，丰富产品梯队，持续增强公司竞争力。</w:t>
            </w:r>
          </w:p>
          <w:p>
            <w:pPr>
              <w:spacing w:line="360" w:lineRule="auto"/>
              <w:ind w:firstLine="480" w:firstLineChars="200"/>
              <w:jc w:val="left"/>
              <w:rPr>
                <w:rFonts w:ascii="宋体" w:hAnsi="宋体" w:cs="宋体"/>
                <w:color w:val="auto"/>
                <w:kern w:val="0"/>
                <w:sz w:val="18"/>
                <w:szCs w:val="18"/>
                <w:lang w:bidi="ar"/>
              </w:rPr>
            </w:pPr>
            <w:r>
              <w:rPr>
                <w:rStyle w:val="8"/>
                <w:rFonts w:hint="eastAsia" w:ascii="宋体" w:hAnsi="宋体"/>
                <w:bCs/>
                <w:color w:val="auto"/>
                <w:sz w:val="24"/>
                <w:szCs w:val="22"/>
              </w:rPr>
              <w:t>公司一致性评价品种22个，已申报9个；新仿制品种18个，已申报6个。其中罗库溴铵注射液、非那雄胺片、米索前列醇片、</w:t>
            </w:r>
            <w:r>
              <w:rPr>
                <w:rFonts w:hint="eastAsia" w:ascii="宋体" w:hAnsi="宋体" w:cs="宋体"/>
                <w:iCs/>
                <w:color w:val="auto"/>
                <w:sz w:val="24"/>
                <w:lang w:val="zh-CN"/>
              </w:rPr>
              <w:t>盐酸罗哌卡因注射液</w:t>
            </w:r>
            <w:r>
              <w:rPr>
                <w:rStyle w:val="8"/>
                <w:rFonts w:hint="eastAsia" w:ascii="宋体" w:hAnsi="宋体"/>
                <w:bCs/>
                <w:color w:val="auto"/>
                <w:sz w:val="24"/>
                <w:szCs w:val="22"/>
              </w:rPr>
              <w:t>4个品种获得批准，罗库溴铵注射液为全国首家通过一致性评价。甲泼尼龙片已取得境内生产药品注册证书。公司将通过一致性评价工作的推进，加快相关产品的市场推进。</w:t>
            </w:r>
          </w:p>
          <w:p>
            <w:pPr>
              <w:spacing w:line="360" w:lineRule="auto"/>
              <w:ind w:firstLine="480"/>
              <w:jc w:val="left"/>
              <w:rPr>
                <w:color w:val="auto"/>
                <w:sz w:val="24"/>
              </w:rPr>
            </w:pPr>
          </w:p>
          <w:p>
            <w:pPr>
              <w:autoSpaceDE w:val="0"/>
              <w:autoSpaceDN w:val="0"/>
              <w:adjustRightInd w:val="0"/>
              <w:spacing w:line="360" w:lineRule="auto"/>
              <w:ind w:firstLine="482" w:firstLineChars="200"/>
              <w:jc w:val="left"/>
              <w:rPr>
                <w:rFonts w:ascii="宋体" w:hAnsi="宋体" w:cs="宋体"/>
                <w:b/>
                <w:bCs/>
                <w:iCs/>
                <w:color w:val="auto"/>
                <w:sz w:val="24"/>
              </w:rPr>
            </w:pPr>
            <w:r>
              <w:rPr>
                <w:rFonts w:hint="eastAsia" w:ascii="宋体" w:hAnsi="宋体" w:cs="宋体"/>
                <w:b/>
                <w:bCs/>
                <w:iCs/>
                <w:color w:val="auto"/>
                <w:sz w:val="24"/>
              </w:rPr>
              <w:t>3、原料药厂区布局情况</w:t>
            </w:r>
          </w:p>
          <w:p>
            <w:pPr>
              <w:spacing w:line="480" w:lineRule="atLeast"/>
              <w:ind w:firstLine="480" w:firstLineChars="200"/>
              <w:rPr>
                <w:rStyle w:val="8"/>
                <w:rFonts w:hAnsi="宋体"/>
                <w:bCs/>
                <w:color w:val="auto"/>
                <w:sz w:val="24"/>
                <w:szCs w:val="22"/>
              </w:rPr>
            </w:pPr>
            <w:r>
              <w:rPr>
                <w:rStyle w:val="8"/>
                <w:rFonts w:hint="eastAsia" w:hAnsi="宋体"/>
                <w:bCs/>
                <w:color w:val="auto"/>
                <w:sz w:val="24"/>
                <w:szCs w:val="22"/>
              </w:rPr>
              <w:t>公司是一家原料药和制剂一体化的医药企业，</w:t>
            </w:r>
            <w:r>
              <w:rPr>
                <w:rStyle w:val="8"/>
                <w:rFonts w:hint="eastAsia" w:ascii="宋体" w:hAnsi="宋体"/>
                <w:bCs/>
                <w:color w:val="auto"/>
                <w:sz w:val="24"/>
                <w:szCs w:val="22"/>
              </w:rPr>
              <w:t>原料药是公司的根基和优势之一，</w:t>
            </w:r>
            <w:r>
              <w:rPr>
                <w:rStyle w:val="8"/>
                <w:rFonts w:hint="eastAsia" w:hAnsi="宋体"/>
                <w:bCs/>
                <w:color w:val="auto"/>
                <w:sz w:val="24"/>
                <w:szCs w:val="22"/>
              </w:rPr>
              <w:t>在原料药发展的布局上，公司一直遵行绿色、低碳的发展理念。公司原料药业务已形成了临海川南厂区、台州杨府厂区和意大利Newchem 三大厂区协同发展的新局面。</w:t>
            </w:r>
          </w:p>
          <w:p>
            <w:pPr>
              <w:spacing w:line="360" w:lineRule="auto"/>
              <w:ind w:firstLine="480"/>
              <w:jc w:val="left"/>
              <w:rPr>
                <w:rStyle w:val="8"/>
                <w:rFonts w:hAnsi="宋体"/>
                <w:bCs/>
                <w:color w:val="auto"/>
                <w:kern w:val="0"/>
                <w:sz w:val="24"/>
                <w:szCs w:val="22"/>
              </w:rPr>
            </w:pPr>
            <w:r>
              <w:rPr>
                <w:rStyle w:val="8"/>
                <w:rFonts w:hint="eastAsia" w:hAnsi="宋体"/>
                <w:bCs/>
                <w:color w:val="auto"/>
                <w:sz w:val="24"/>
                <w:szCs w:val="22"/>
              </w:rPr>
              <w:t>临海川南厂区的台州仙琚于2017年通过FDA认证，近年业绩表现亮眼，目前也在多个生产线上尝试</w:t>
            </w:r>
            <w:r>
              <w:rPr>
                <w:rStyle w:val="8"/>
                <w:rFonts w:hint="eastAsia" w:ascii="宋体" w:hAnsi="宋体"/>
                <w:bCs/>
                <w:color w:val="auto"/>
                <w:kern w:val="0"/>
                <w:sz w:val="24"/>
                <w:szCs w:val="22"/>
              </w:rPr>
              <w:t>连续流微反应等先进技术开发与应用</w:t>
            </w:r>
            <w:r>
              <w:rPr>
                <w:rStyle w:val="8"/>
                <w:rFonts w:hint="eastAsia" w:hAnsi="宋体"/>
                <w:bCs/>
                <w:color w:val="auto"/>
                <w:kern w:val="0"/>
                <w:sz w:val="24"/>
                <w:szCs w:val="22"/>
              </w:rPr>
              <w:t>。</w:t>
            </w:r>
          </w:p>
          <w:p>
            <w:pPr>
              <w:spacing w:line="360" w:lineRule="auto"/>
              <w:ind w:firstLine="480"/>
              <w:jc w:val="left"/>
              <w:rPr>
                <w:rStyle w:val="8"/>
                <w:rFonts w:ascii="宋体" w:hAnsi="宋体"/>
                <w:bCs/>
                <w:color w:val="auto"/>
                <w:sz w:val="24"/>
                <w:szCs w:val="22"/>
              </w:rPr>
            </w:pPr>
            <w:r>
              <w:rPr>
                <w:rStyle w:val="8"/>
                <w:rFonts w:hint="eastAsia" w:hAnsi="宋体"/>
                <w:bCs/>
                <w:color w:val="auto"/>
                <w:sz w:val="24"/>
                <w:szCs w:val="22"/>
              </w:rPr>
              <w:t>台州杨府原料药厂区承接城南厂区的职能，已完成所有原料药搬迁品种国内认证工作，新厂区</w:t>
            </w:r>
            <w:r>
              <w:rPr>
                <w:rStyle w:val="8"/>
                <w:rFonts w:hint="eastAsia" w:ascii="宋体" w:hAnsi="宋体"/>
                <w:bCs/>
                <w:color w:val="auto"/>
                <w:kern w:val="0"/>
                <w:sz w:val="24"/>
                <w:szCs w:val="22"/>
              </w:rPr>
              <w:t>对生产的自动化程度、生产现场的密闭化管控、人员配置等技术流提出更高的要求，</w:t>
            </w:r>
            <w:r>
              <w:rPr>
                <w:rFonts w:hint="eastAsia"/>
                <w:color w:val="auto"/>
                <w:sz w:val="24"/>
              </w:rPr>
              <w:t>新设备的运用对生产物料投放的精准性、人员的安全性、生产的绿色低碳环保性都是一种质的提升。公司部份车间在</w:t>
            </w:r>
            <w:r>
              <w:rPr>
                <w:rStyle w:val="8"/>
                <w:rFonts w:ascii="宋体" w:hAnsi="宋体"/>
                <w:bCs/>
                <w:color w:val="auto"/>
                <w:sz w:val="24"/>
                <w:szCs w:val="22"/>
              </w:rPr>
              <w:t>酶</w:t>
            </w:r>
            <w:r>
              <w:rPr>
                <w:rStyle w:val="8"/>
                <w:rFonts w:hint="eastAsia" w:ascii="宋体" w:hAnsi="宋体"/>
                <w:bCs/>
                <w:color w:val="auto"/>
                <w:sz w:val="24"/>
                <w:szCs w:val="22"/>
              </w:rPr>
              <w:t>催化、连续流方面都有新的尝试与探索。</w:t>
            </w:r>
          </w:p>
          <w:p>
            <w:pPr>
              <w:spacing w:line="360" w:lineRule="auto"/>
              <w:ind w:firstLine="480"/>
              <w:jc w:val="left"/>
              <w:rPr>
                <w:rStyle w:val="8"/>
                <w:rFonts w:ascii="Times New Roman" w:hAnsi="宋体"/>
                <w:bCs/>
                <w:color w:val="auto"/>
                <w:sz w:val="24"/>
                <w:szCs w:val="22"/>
              </w:rPr>
            </w:pPr>
            <w:r>
              <w:rPr>
                <w:rStyle w:val="8"/>
                <w:rFonts w:hint="eastAsia" w:hAnsi="宋体"/>
                <w:bCs/>
                <w:color w:val="auto"/>
                <w:sz w:val="24"/>
                <w:szCs w:val="22"/>
              </w:rPr>
              <w:t>意大利Newchem公司拥有两个厂区，</w:t>
            </w:r>
            <w:r>
              <w:rPr>
                <w:rStyle w:val="8"/>
                <w:rFonts w:hint="eastAsia" w:ascii="Times New Roman" w:hAnsi="宋体"/>
                <w:bCs/>
                <w:color w:val="auto"/>
                <w:sz w:val="24"/>
                <w:szCs w:val="22"/>
              </w:rPr>
              <w:t>Newchem公司有62个产品，其中皮质类固醇产品38个，激素类产品8个，前列腺素产品7个，其他激素衍生物9个；目前24个产品具备DMF或CEP文号，在美国、欧盟和日本等规范市场获得准入，Newchem的皮质类固醇类产品丙酸氟替卡松、糠酸氟替卡松、氟米松新戊酸酯、甲基泼尼松龙琥珀酸钠等是公司原料药产品的下游高端衍生物，很多特色品种近两年有效拓展了增量市场，所有产品对接国际高端市场。</w:t>
            </w:r>
          </w:p>
          <w:p>
            <w:pPr>
              <w:pStyle w:val="18"/>
              <w:spacing w:line="360" w:lineRule="auto"/>
              <w:ind w:firstLine="480"/>
              <w:jc w:val="both"/>
              <w:rPr>
                <w:rStyle w:val="8"/>
                <w:rFonts w:hAnsi="宋体" w:cs="Times New Roman"/>
                <w:bCs/>
                <w:color w:val="auto"/>
                <w:kern w:val="2"/>
                <w:szCs w:val="22"/>
              </w:rPr>
            </w:pPr>
            <w:r>
              <w:rPr>
                <w:rStyle w:val="8"/>
                <w:rFonts w:hint="eastAsia" w:hAnsi="宋体" w:cs="Times New Roman"/>
                <w:bCs/>
                <w:color w:val="auto"/>
                <w:kern w:val="2"/>
                <w:szCs w:val="22"/>
              </w:rPr>
              <w:t>最近</w:t>
            </w:r>
            <w:r>
              <w:rPr>
                <w:rStyle w:val="8"/>
                <w:rFonts w:hAnsi="宋体" w:cs="Times New Roman"/>
                <w:bCs/>
                <w:color w:val="auto"/>
                <w:kern w:val="2"/>
                <w:szCs w:val="22"/>
              </w:rPr>
              <w:t>国家发展改革委</w:t>
            </w:r>
            <w:r>
              <w:rPr>
                <w:rStyle w:val="8"/>
                <w:rFonts w:hint="eastAsia" w:hAnsi="宋体" w:cs="Times New Roman"/>
                <w:bCs/>
                <w:color w:val="auto"/>
                <w:kern w:val="2"/>
                <w:szCs w:val="22"/>
              </w:rPr>
              <w:t>、</w:t>
            </w:r>
            <w:r>
              <w:rPr>
                <w:rStyle w:val="8"/>
                <w:rFonts w:hAnsi="宋体" w:cs="Times New Roman"/>
                <w:bCs/>
                <w:color w:val="auto"/>
                <w:kern w:val="2"/>
                <w:szCs w:val="22"/>
              </w:rPr>
              <w:t>工业和信息化部</w:t>
            </w:r>
            <w:r>
              <w:rPr>
                <w:rStyle w:val="8"/>
                <w:rFonts w:hint="eastAsia" w:hAnsi="宋体" w:cs="Times New Roman"/>
                <w:bCs/>
                <w:color w:val="auto"/>
                <w:kern w:val="2"/>
                <w:szCs w:val="22"/>
              </w:rPr>
              <w:t>颁发了《</w:t>
            </w:r>
            <w:r>
              <w:rPr>
                <w:rStyle w:val="8"/>
                <w:rFonts w:hAnsi="宋体" w:cs="Times New Roman"/>
                <w:bCs/>
                <w:color w:val="auto"/>
                <w:kern w:val="2"/>
                <w:szCs w:val="22"/>
              </w:rPr>
              <w:t>关于推动</w:t>
            </w:r>
            <w:r>
              <w:rPr>
                <w:rStyle w:val="8"/>
                <w:rFonts w:hint="eastAsia" w:hAnsi="宋体" w:cs="Times New Roman"/>
                <w:bCs/>
                <w:color w:val="auto"/>
                <w:kern w:val="2"/>
                <w:szCs w:val="22"/>
              </w:rPr>
              <w:t>原</w:t>
            </w:r>
            <w:r>
              <w:rPr>
                <w:rStyle w:val="8"/>
                <w:rFonts w:hAnsi="宋体" w:cs="Times New Roman"/>
                <w:bCs/>
                <w:color w:val="auto"/>
                <w:kern w:val="2"/>
                <w:szCs w:val="22"/>
              </w:rPr>
              <w:t>料药产业高质量发展实施方案的通知</w:t>
            </w:r>
            <w:r>
              <w:rPr>
                <w:rStyle w:val="8"/>
                <w:rFonts w:hint="eastAsia" w:hAnsi="宋体" w:cs="Times New Roman"/>
                <w:bCs/>
                <w:color w:val="auto"/>
                <w:kern w:val="2"/>
                <w:szCs w:val="22"/>
              </w:rPr>
              <w:t>》。倡导</w:t>
            </w:r>
            <w:r>
              <w:rPr>
                <w:rStyle w:val="8"/>
                <w:rFonts w:hAnsi="宋体" w:cs="Times New Roman"/>
                <w:bCs/>
                <w:color w:val="auto"/>
                <w:kern w:val="2"/>
                <w:szCs w:val="22"/>
              </w:rPr>
              <w:t>大力发展特色原料药和创新原料药，提高新产品、高附加值产品比重。重点发展合成生物技术、生物催化剂（酶）筛选与制备等先进技术</w:t>
            </w:r>
            <w:r>
              <w:rPr>
                <w:rStyle w:val="8"/>
                <w:rFonts w:hint="eastAsia" w:hAnsi="宋体" w:cs="Times New Roman"/>
                <w:bCs/>
                <w:color w:val="auto"/>
                <w:kern w:val="2"/>
                <w:szCs w:val="22"/>
              </w:rPr>
              <w:t>。通知的出台对原料药产业发展有积极的作用。</w:t>
            </w:r>
          </w:p>
          <w:p>
            <w:pPr>
              <w:autoSpaceDE w:val="0"/>
              <w:autoSpaceDN w:val="0"/>
              <w:adjustRightInd w:val="0"/>
              <w:spacing w:line="360" w:lineRule="auto"/>
              <w:ind w:firstLine="482" w:firstLineChars="200"/>
              <w:jc w:val="left"/>
              <w:rPr>
                <w:rFonts w:ascii="宋体" w:hAnsi="宋体" w:cs="宋体"/>
                <w:b/>
                <w:bCs/>
                <w:iCs/>
                <w:color w:val="auto"/>
                <w:sz w:val="24"/>
              </w:rPr>
            </w:pPr>
          </w:p>
          <w:p>
            <w:pPr>
              <w:autoSpaceDE w:val="0"/>
              <w:autoSpaceDN w:val="0"/>
              <w:adjustRightInd w:val="0"/>
              <w:spacing w:line="360" w:lineRule="auto"/>
              <w:ind w:firstLine="482" w:firstLineChars="200"/>
              <w:jc w:val="left"/>
              <w:rPr>
                <w:rFonts w:ascii="宋体" w:hAnsi="宋体" w:cs="宋体"/>
                <w:b/>
                <w:bCs/>
                <w:iCs/>
                <w:color w:val="auto"/>
                <w:sz w:val="24"/>
              </w:rPr>
            </w:pPr>
            <w:r>
              <w:rPr>
                <w:rFonts w:hint="eastAsia" w:ascii="宋体" w:hAnsi="宋体" w:cs="宋体"/>
                <w:b/>
                <w:bCs/>
                <w:iCs/>
                <w:color w:val="auto"/>
                <w:sz w:val="24"/>
              </w:rPr>
              <w:t>4、杨府原料药厂区认证情况</w:t>
            </w:r>
          </w:p>
          <w:p>
            <w:pPr>
              <w:autoSpaceDE w:val="0"/>
              <w:autoSpaceDN w:val="0"/>
              <w:adjustRightInd w:val="0"/>
              <w:spacing w:line="360" w:lineRule="auto"/>
              <w:ind w:firstLine="480"/>
              <w:jc w:val="left"/>
              <w:rPr>
                <w:rStyle w:val="8"/>
                <w:rFonts w:ascii="宋体" w:hAnsi="宋体"/>
                <w:bCs/>
                <w:color w:val="auto"/>
                <w:sz w:val="24"/>
                <w:szCs w:val="22"/>
              </w:rPr>
            </w:pPr>
            <w:r>
              <w:rPr>
                <w:rStyle w:val="8"/>
                <w:rFonts w:hint="eastAsia" w:ascii="宋体" w:hAnsi="宋体"/>
                <w:bCs/>
                <w:color w:val="auto"/>
                <w:sz w:val="24"/>
                <w:szCs w:val="22"/>
              </w:rPr>
              <w:t>公司</w:t>
            </w:r>
            <w:r>
              <w:rPr>
                <w:rFonts w:hint="eastAsia" w:ascii="宋体" w:hAnsi="宋体" w:cs="宋体"/>
                <w:iCs/>
                <w:color w:val="auto"/>
                <w:sz w:val="24"/>
              </w:rPr>
              <w:t>杨府</w:t>
            </w:r>
            <w:r>
              <w:rPr>
                <w:rStyle w:val="8"/>
                <w:rFonts w:hint="eastAsia" w:ascii="宋体" w:hAnsi="宋体"/>
                <w:bCs/>
                <w:color w:val="auto"/>
                <w:sz w:val="24"/>
                <w:szCs w:val="22"/>
              </w:rPr>
              <w:t>原料药厂区围绕皮质激素类、孕激素类、性激素类、非激素类的几大品类原料药品种来做。</w:t>
            </w:r>
          </w:p>
          <w:p>
            <w:pPr>
              <w:autoSpaceDE w:val="0"/>
              <w:autoSpaceDN w:val="0"/>
              <w:adjustRightInd w:val="0"/>
              <w:spacing w:line="360" w:lineRule="auto"/>
              <w:ind w:firstLine="480"/>
              <w:jc w:val="left"/>
              <w:rPr>
                <w:rFonts w:ascii="宋体" w:hAnsi="宋体" w:cs="宋体"/>
                <w:iCs/>
                <w:color w:val="auto"/>
                <w:sz w:val="24"/>
              </w:rPr>
            </w:pPr>
            <w:r>
              <w:rPr>
                <w:rFonts w:hint="eastAsia" w:ascii="宋体" w:hAnsi="宋体" w:cs="宋体"/>
                <w:iCs/>
                <w:color w:val="auto"/>
                <w:sz w:val="24"/>
              </w:rPr>
              <w:t>今年5月份，杨府原料药厂区部分产品取得了欧盟的CEP证书，欧洲市场的市场准入已取得。</w:t>
            </w:r>
          </w:p>
          <w:p>
            <w:pPr>
              <w:autoSpaceDE w:val="0"/>
              <w:autoSpaceDN w:val="0"/>
              <w:adjustRightInd w:val="0"/>
              <w:spacing w:line="360" w:lineRule="auto"/>
              <w:ind w:firstLine="480"/>
              <w:jc w:val="left"/>
              <w:rPr>
                <w:rFonts w:ascii="宋体" w:hAnsi="宋体" w:cs="宋体"/>
                <w:iCs/>
                <w:color w:val="auto"/>
                <w:sz w:val="24"/>
              </w:rPr>
            </w:pPr>
            <w:r>
              <w:rPr>
                <w:rFonts w:hint="eastAsia" w:ascii="宋体" w:hAnsi="宋体" w:cs="宋体"/>
                <w:iCs/>
                <w:color w:val="auto"/>
                <w:sz w:val="24"/>
              </w:rPr>
              <w:t>今年9月份，杨府原料药厂区部分产品接受了日本官方的远程审计认证，目前已开始接收订单。</w:t>
            </w:r>
          </w:p>
          <w:p>
            <w:pPr>
              <w:autoSpaceDE w:val="0"/>
              <w:autoSpaceDN w:val="0"/>
              <w:adjustRightInd w:val="0"/>
              <w:spacing w:line="360" w:lineRule="auto"/>
              <w:ind w:firstLine="480"/>
              <w:jc w:val="left"/>
              <w:rPr>
                <w:rFonts w:ascii="宋体" w:hAnsi="宋体" w:cs="宋体"/>
                <w:iCs/>
                <w:color w:val="auto"/>
                <w:sz w:val="24"/>
              </w:rPr>
            </w:pPr>
            <w:r>
              <w:rPr>
                <w:rFonts w:hint="eastAsia" w:ascii="宋体" w:hAnsi="宋体" w:cs="宋体"/>
                <w:iCs/>
                <w:color w:val="auto"/>
                <w:sz w:val="24"/>
              </w:rPr>
              <w:t>杨府原料药厂区在今年3 、4月份就做好了美国FDA认证迎检的准备工作，疫情的原因，到目前为止还没有接到明确来检查的通知。FDA认证的延期，在一定程度上影响了公司在北美、南美等市场的客户开拓进度。这些市场一部分客户验证批已供货，但是商业规模销售还有待FDA认证的通过。</w:t>
            </w:r>
          </w:p>
          <w:p>
            <w:pPr>
              <w:autoSpaceDE w:val="0"/>
              <w:autoSpaceDN w:val="0"/>
              <w:adjustRightInd w:val="0"/>
              <w:spacing w:line="360" w:lineRule="auto"/>
              <w:ind w:firstLine="480"/>
              <w:jc w:val="left"/>
              <w:rPr>
                <w:rFonts w:ascii="宋体" w:hAnsi="宋体" w:cs="宋体"/>
                <w:iCs/>
                <w:color w:val="auto"/>
                <w:sz w:val="24"/>
              </w:rPr>
            </w:pPr>
          </w:p>
          <w:p>
            <w:pPr>
              <w:spacing w:line="360" w:lineRule="auto"/>
              <w:ind w:firstLine="482" w:firstLineChars="200"/>
              <w:rPr>
                <w:rStyle w:val="8"/>
                <w:rFonts w:ascii="宋体" w:hAnsi="宋体"/>
                <w:b/>
                <w:color w:val="auto"/>
                <w:sz w:val="24"/>
                <w:szCs w:val="22"/>
              </w:rPr>
            </w:pPr>
            <w:r>
              <w:rPr>
                <w:rFonts w:hint="eastAsia" w:ascii="宋体" w:hAnsi="宋体" w:cs="宋体"/>
                <w:b/>
                <w:bCs/>
                <w:iCs/>
                <w:color w:val="auto"/>
                <w:sz w:val="24"/>
              </w:rPr>
              <w:t>5、</w:t>
            </w:r>
            <w:r>
              <w:rPr>
                <w:rStyle w:val="8"/>
                <w:rFonts w:hint="eastAsia" w:ascii="宋体" w:hAnsi="宋体"/>
                <w:b/>
                <w:color w:val="auto"/>
                <w:sz w:val="24"/>
                <w:szCs w:val="22"/>
              </w:rPr>
              <w:t>公司中长期战略定位及未来的发展布局</w:t>
            </w:r>
          </w:p>
          <w:p>
            <w:pPr>
              <w:spacing w:line="480" w:lineRule="atLeast"/>
              <w:ind w:firstLine="480" w:firstLineChars="200"/>
              <w:rPr>
                <w:rStyle w:val="8"/>
                <w:rFonts w:ascii="宋体" w:hAnsi="宋体"/>
                <w:bCs/>
                <w:color w:val="auto"/>
                <w:sz w:val="24"/>
                <w:szCs w:val="22"/>
              </w:rPr>
            </w:pPr>
            <w:r>
              <w:rPr>
                <w:rStyle w:val="8"/>
                <w:rFonts w:hint="eastAsia" w:ascii="宋体" w:hAnsi="宋体"/>
                <w:bCs/>
                <w:color w:val="auto"/>
                <w:sz w:val="24"/>
                <w:szCs w:val="22"/>
              </w:rPr>
              <w:t>全球范围内的甾体药物的市场容量大，厂家主要集中在大型跨国制药公司，每家公司也各具特点，分别在呼吸科、雌激素补充、短效避孕药、皮质激素制剂等某类治疗领域独具特色。仙琚制药兼具原料药与制剂一体化的产业链、制造体系完备（中国工厂和意大利工厂）、销售国内和国外两个市场，在细分领域独具特色。</w:t>
            </w:r>
          </w:p>
          <w:p>
            <w:pPr>
              <w:spacing w:line="480" w:lineRule="atLeast"/>
              <w:ind w:firstLine="480" w:firstLineChars="200"/>
              <w:rPr>
                <w:rFonts w:hint="eastAsia" w:ascii="宋体" w:hAnsi="宋体"/>
                <w:bCs/>
                <w:iCs/>
                <w:color w:val="auto"/>
                <w:sz w:val="24"/>
                <w:szCs w:val="22"/>
              </w:rPr>
            </w:pPr>
            <w:r>
              <w:rPr>
                <w:rStyle w:val="8"/>
                <w:rFonts w:hint="eastAsia" w:ascii="宋体" w:hAnsi="宋体"/>
                <w:bCs/>
                <w:iCs/>
                <w:color w:val="auto"/>
                <w:sz w:val="24"/>
                <w:szCs w:val="22"/>
              </w:rPr>
              <w:t>公司将长期聚焦甾体激素领域，做全、做精产业链、不断丰富原料药及制剂产品结构，专注于综合能力提升，不断提升产品的价值，在行业内形成小而美的行业特色。打造产品全、研究深、品质高、综合成本优的全球甾体激素产业链优质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8"/>
                <w:rFonts w:ascii="宋体" w:hAnsi="宋体"/>
                <w:b/>
                <w:bCs/>
                <w:iCs/>
                <w:sz w:val="24"/>
              </w:rPr>
            </w:pPr>
            <w:r>
              <w:rPr>
                <w:rStyle w:val="8"/>
                <w:rFonts w:ascii="宋体" w:hAnsi="宋体"/>
                <w:b/>
                <w:bCs/>
                <w:iCs/>
                <w:sz w:val="24"/>
              </w:rPr>
              <w:t>附件清单</w:t>
            </w:r>
          </w:p>
          <w:p>
            <w:pPr>
              <w:spacing w:line="480" w:lineRule="atLeast"/>
              <w:rPr>
                <w:rStyle w:val="8"/>
                <w:rFonts w:ascii="宋体" w:hAnsi="宋体"/>
                <w:b/>
                <w:bCs/>
                <w:iCs/>
                <w:sz w:val="24"/>
              </w:rPr>
            </w:pPr>
            <w:r>
              <w:rPr>
                <w:rStyle w:val="8"/>
                <w:rFonts w:ascii="宋体" w:hAnsi="宋体"/>
                <w:b/>
                <w:bCs/>
                <w:iCs/>
                <w:sz w:val="24"/>
              </w:rPr>
              <w:t>（如有）</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Cs/>
                <w:iCs/>
                <w:color w:val="auto"/>
                <w:sz w:val="24"/>
              </w:rPr>
            </w:pPr>
            <w:r>
              <w:rPr>
                <w:rStyle w:val="8"/>
                <w:rFonts w:ascii="宋体" w:hAnsi="宋体"/>
                <w:bCs/>
                <w:iCs/>
                <w:color w:val="auto"/>
                <w:sz w:val="24"/>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766" w:type="dxa"/>
            <w:tcBorders>
              <w:top w:val="single" w:color="000000" w:sz="4" w:space="0"/>
              <w:left w:val="single" w:color="000000" w:sz="4" w:space="0"/>
              <w:bottom w:val="single" w:color="000000" w:sz="4" w:space="0"/>
              <w:right w:val="single" w:color="000000" w:sz="4" w:space="0"/>
            </w:tcBorders>
            <w:vAlign w:val="center"/>
          </w:tcPr>
          <w:p>
            <w:pPr>
              <w:spacing w:line="480" w:lineRule="atLeast"/>
              <w:rPr>
                <w:rStyle w:val="8"/>
                <w:rFonts w:ascii="宋体" w:hAnsi="宋体"/>
                <w:b/>
                <w:bCs/>
                <w:iCs/>
                <w:sz w:val="24"/>
              </w:rPr>
            </w:pPr>
            <w:r>
              <w:rPr>
                <w:rStyle w:val="8"/>
                <w:rFonts w:ascii="宋体" w:hAnsi="宋体"/>
                <w:b/>
                <w:bCs/>
                <w:iCs/>
                <w:sz w:val="24"/>
              </w:rPr>
              <w:t>日期</w:t>
            </w:r>
          </w:p>
        </w:tc>
        <w:tc>
          <w:tcPr>
            <w:tcW w:w="6261" w:type="dxa"/>
            <w:tcBorders>
              <w:top w:val="single" w:color="000000" w:sz="4" w:space="0"/>
              <w:left w:val="single" w:color="000000" w:sz="4" w:space="0"/>
              <w:bottom w:val="single" w:color="000000" w:sz="4" w:space="0"/>
              <w:right w:val="single" w:color="000000" w:sz="4" w:space="0"/>
            </w:tcBorders>
          </w:tcPr>
          <w:p>
            <w:pPr>
              <w:spacing w:line="480" w:lineRule="atLeast"/>
              <w:rPr>
                <w:rStyle w:val="8"/>
                <w:rFonts w:ascii="宋体" w:hAnsi="宋体"/>
                <w:bCs/>
                <w:iCs/>
                <w:sz w:val="24"/>
              </w:rPr>
            </w:pPr>
            <w:r>
              <w:rPr>
                <w:rStyle w:val="8"/>
                <w:rFonts w:ascii="宋体" w:hAnsi="宋体"/>
                <w:bCs/>
                <w:iCs/>
                <w:sz w:val="24"/>
              </w:rPr>
              <w:t>20</w:t>
            </w:r>
            <w:r>
              <w:rPr>
                <w:rStyle w:val="8"/>
                <w:rFonts w:hint="eastAsia" w:ascii="宋体" w:hAnsi="宋体"/>
                <w:bCs/>
                <w:iCs/>
                <w:sz w:val="24"/>
              </w:rPr>
              <w:t>21</w:t>
            </w:r>
            <w:r>
              <w:rPr>
                <w:rStyle w:val="8"/>
                <w:rFonts w:ascii="宋体" w:hAnsi="宋体"/>
                <w:bCs/>
                <w:iCs/>
                <w:sz w:val="24"/>
              </w:rPr>
              <w:t>年</w:t>
            </w:r>
            <w:r>
              <w:rPr>
                <w:rStyle w:val="8"/>
                <w:rFonts w:hint="eastAsia" w:ascii="宋体" w:hAnsi="宋体"/>
                <w:bCs/>
                <w:iCs/>
                <w:sz w:val="24"/>
              </w:rPr>
              <w:t>11</w:t>
            </w:r>
            <w:r>
              <w:rPr>
                <w:rStyle w:val="8"/>
                <w:rFonts w:ascii="宋体" w:hAnsi="宋体"/>
                <w:bCs/>
                <w:iCs/>
                <w:sz w:val="24"/>
              </w:rPr>
              <w:t>月</w:t>
            </w:r>
            <w:r>
              <w:rPr>
                <w:rStyle w:val="8"/>
                <w:rFonts w:hint="eastAsia" w:ascii="宋体" w:hAnsi="宋体"/>
                <w:bCs/>
                <w:iCs/>
                <w:sz w:val="24"/>
              </w:rPr>
              <w:t>25</w:t>
            </w:r>
            <w:r>
              <w:rPr>
                <w:rStyle w:val="8"/>
                <w:rFonts w:ascii="宋体" w:hAnsi="宋体"/>
                <w:bCs/>
                <w:iCs/>
                <w:sz w:val="24"/>
              </w:rPr>
              <w:t>日</w:t>
            </w:r>
          </w:p>
        </w:tc>
      </w:tr>
    </w:tbl>
    <w:p>
      <w:pPr>
        <w:spacing w:line="360" w:lineRule="auto"/>
        <w:jc w:val="left"/>
        <w:rPr>
          <w:rStyle w:val="8"/>
          <w:rFonts w:hint="eastAsia" w:ascii="宋体" w:hAnsi="宋体"/>
          <w:sz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1E"/>
    <w:rsid w:val="00005FA7"/>
    <w:rsid w:val="00057AE4"/>
    <w:rsid w:val="00081D3D"/>
    <w:rsid w:val="000C486D"/>
    <w:rsid w:val="000C4F35"/>
    <w:rsid w:val="000D1F10"/>
    <w:rsid w:val="00102B7C"/>
    <w:rsid w:val="00103205"/>
    <w:rsid w:val="0010573B"/>
    <w:rsid w:val="00110DE8"/>
    <w:rsid w:val="0015093F"/>
    <w:rsid w:val="0017701B"/>
    <w:rsid w:val="001E1145"/>
    <w:rsid w:val="001F191E"/>
    <w:rsid w:val="00201345"/>
    <w:rsid w:val="0022211E"/>
    <w:rsid w:val="00222F19"/>
    <w:rsid w:val="00232B78"/>
    <w:rsid w:val="00332E5E"/>
    <w:rsid w:val="00371570"/>
    <w:rsid w:val="00387786"/>
    <w:rsid w:val="003B1596"/>
    <w:rsid w:val="004678F9"/>
    <w:rsid w:val="0047316C"/>
    <w:rsid w:val="00487A49"/>
    <w:rsid w:val="004F00E5"/>
    <w:rsid w:val="00500DAB"/>
    <w:rsid w:val="00525F7E"/>
    <w:rsid w:val="00563A34"/>
    <w:rsid w:val="0058307A"/>
    <w:rsid w:val="005B166D"/>
    <w:rsid w:val="005B4EF6"/>
    <w:rsid w:val="00606D48"/>
    <w:rsid w:val="00622F44"/>
    <w:rsid w:val="0067134D"/>
    <w:rsid w:val="0068122E"/>
    <w:rsid w:val="006B5E98"/>
    <w:rsid w:val="006C6D15"/>
    <w:rsid w:val="006D7679"/>
    <w:rsid w:val="006F23BF"/>
    <w:rsid w:val="00744422"/>
    <w:rsid w:val="0076775C"/>
    <w:rsid w:val="00792E72"/>
    <w:rsid w:val="007C652A"/>
    <w:rsid w:val="007D35F5"/>
    <w:rsid w:val="007D4175"/>
    <w:rsid w:val="007D4FE4"/>
    <w:rsid w:val="007E581E"/>
    <w:rsid w:val="00814FD3"/>
    <w:rsid w:val="0081520B"/>
    <w:rsid w:val="00865CCA"/>
    <w:rsid w:val="008660D4"/>
    <w:rsid w:val="00874952"/>
    <w:rsid w:val="009152F2"/>
    <w:rsid w:val="00937AF5"/>
    <w:rsid w:val="009909DD"/>
    <w:rsid w:val="009B2524"/>
    <w:rsid w:val="009D6D09"/>
    <w:rsid w:val="00A128E7"/>
    <w:rsid w:val="00A36A03"/>
    <w:rsid w:val="00A41C80"/>
    <w:rsid w:val="00A5307E"/>
    <w:rsid w:val="00A64F1C"/>
    <w:rsid w:val="00A82882"/>
    <w:rsid w:val="00A83BAF"/>
    <w:rsid w:val="00AD38E6"/>
    <w:rsid w:val="00B11987"/>
    <w:rsid w:val="00B22374"/>
    <w:rsid w:val="00B408F7"/>
    <w:rsid w:val="00B94424"/>
    <w:rsid w:val="00C02AD6"/>
    <w:rsid w:val="00C05E07"/>
    <w:rsid w:val="00C627DB"/>
    <w:rsid w:val="00C65DF6"/>
    <w:rsid w:val="00C768A8"/>
    <w:rsid w:val="00C80D76"/>
    <w:rsid w:val="00D07E0E"/>
    <w:rsid w:val="00D25AA4"/>
    <w:rsid w:val="00D738BE"/>
    <w:rsid w:val="00DA300A"/>
    <w:rsid w:val="00DA5084"/>
    <w:rsid w:val="00DB62FA"/>
    <w:rsid w:val="00DC3EE9"/>
    <w:rsid w:val="00DE7351"/>
    <w:rsid w:val="00DF39A2"/>
    <w:rsid w:val="00E064AD"/>
    <w:rsid w:val="00E3536B"/>
    <w:rsid w:val="00E5244D"/>
    <w:rsid w:val="00E55D97"/>
    <w:rsid w:val="00E855D0"/>
    <w:rsid w:val="00E93FF4"/>
    <w:rsid w:val="00EA0645"/>
    <w:rsid w:val="00EA647D"/>
    <w:rsid w:val="00EB0518"/>
    <w:rsid w:val="00EB5DDB"/>
    <w:rsid w:val="00EE25F4"/>
    <w:rsid w:val="00EF46B3"/>
    <w:rsid w:val="00EF60D6"/>
    <w:rsid w:val="00EF70D7"/>
    <w:rsid w:val="00F45868"/>
    <w:rsid w:val="00F65F88"/>
    <w:rsid w:val="00F769E6"/>
    <w:rsid w:val="00F9280D"/>
    <w:rsid w:val="00F93DC3"/>
    <w:rsid w:val="00FA1297"/>
    <w:rsid w:val="018A2030"/>
    <w:rsid w:val="01F73F85"/>
    <w:rsid w:val="04DB2A85"/>
    <w:rsid w:val="050370BF"/>
    <w:rsid w:val="05A476DD"/>
    <w:rsid w:val="05A8673E"/>
    <w:rsid w:val="05FF6A84"/>
    <w:rsid w:val="07E21993"/>
    <w:rsid w:val="081343B4"/>
    <w:rsid w:val="08310812"/>
    <w:rsid w:val="08847F54"/>
    <w:rsid w:val="08C72CB3"/>
    <w:rsid w:val="09ED7BC3"/>
    <w:rsid w:val="0A513EF4"/>
    <w:rsid w:val="0B8B1C48"/>
    <w:rsid w:val="0BBB7134"/>
    <w:rsid w:val="0D1A21BD"/>
    <w:rsid w:val="0D3C0A15"/>
    <w:rsid w:val="0E461615"/>
    <w:rsid w:val="0F5F4A3E"/>
    <w:rsid w:val="1073569C"/>
    <w:rsid w:val="1078223A"/>
    <w:rsid w:val="115B5732"/>
    <w:rsid w:val="120E58A2"/>
    <w:rsid w:val="134A22E1"/>
    <w:rsid w:val="14E92568"/>
    <w:rsid w:val="14EA0F69"/>
    <w:rsid w:val="15232298"/>
    <w:rsid w:val="16376096"/>
    <w:rsid w:val="16D9538A"/>
    <w:rsid w:val="175F7544"/>
    <w:rsid w:val="1A4673B5"/>
    <w:rsid w:val="1B5319E3"/>
    <w:rsid w:val="1BC6055E"/>
    <w:rsid w:val="1BFE60B2"/>
    <w:rsid w:val="1C6B6A39"/>
    <w:rsid w:val="1CBD00E8"/>
    <w:rsid w:val="1ED22B1C"/>
    <w:rsid w:val="1FE16E93"/>
    <w:rsid w:val="1FF50555"/>
    <w:rsid w:val="21143FEB"/>
    <w:rsid w:val="21C244F9"/>
    <w:rsid w:val="220D028A"/>
    <w:rsid w:val="220D3ED8"/>
    <w:rsid w:val="22C9024F"/>
    <w:rsid w:val="23AB07F1"/>
    <w:rsid w:val="24971EEC"/>
    <w:rsid w:val="25733901"/>
    <w:rsid w:val="25DC4DB0"/>
    <w:rsid w:val="261310D6"/>
    <w:rsid w:val="26F977A3"/>
    <w:rsid w:val="27431237"/>
    <w:rsid w:val="277A14C9"/>
    <w:rsid w:val="27DC13F0"/>
    <w:rsid w:val="27FE2942"/>
    <w:rsid w:val="297D12CC"/>
    <w:rsid w:val="2991528F"/>
    <w:rsid w:val="2AA62E99"/>
    <w:rsid w:val="2B83699C"/>
    <w:rsid w:val="2B934C8C"/>
    <w:rsid w:val="2D215175"/>
    <w:rsid w:val="2DD91531"/>
    <w:rsid w:val="2E6E03AE"/>
    <w:rsid w:val="2F1B113A"/>
    <w:rsid w:val="2F5C2219"/>
    <w:rsid w:val="308D7B33"/>
    <w:rsid w:val="31AE41C3"/>
    <w:rsid w:val="32B37A41"/>
    <w:rsid w:val="334B3268"/>
    <w:rsid w:val="33EE0B12"/>
    <w:rsid w:val="34742D29"/>
    <w:rsid w:val="354D4669"/>
    <w:rsid w:val="35650F9F"/>
    <w:rsid w:val="358A36EA"/>
    <w:rsid w:val="35FF02DB"/>
    <w:rsid w:val="38001ED1"/>
    <w:rsid w:val="38D048E6"/>
    <w:rsid w:val="43037788"/>
    <w:rsid w:val="43FD313F"/>
    <w:rsid w:val="44440DC3"/>
    <w:rsid w:val="44973F8C"/>
    <w:rsid w:val="454B7AF0"/>
    <w:rsid w:val="461155D5"/>
    <w:rsid w:val="464F535A"/>
    <w:rsid w:val="465A4338"/>
    <w:rsid w:val="46B50B3D"/>
    <w:rsid w:val="472E2DC8"/>
    <w:rsid w:val="4A8E0001"/>
    <w:rsid w:val="4AC44538"/>
    <w:rsid w:val="4AF22833"/>
    <w:rsid w:val="4BC739A7"/>
    <w:rsid w:val="4C2A0B13"/>
    <w:rsid w:val="4C88610C"/>
    <w:rsid w:val="4DF447B7"/>
    <w:rsid w:val="4E0825A9"/>
    <w:rsid w:val="4EC76EE5"/>
    <w:rsid w:val="4EE26B11"/>
    <w:rsid w:val="4F1B338E"/>
    <w:rsid w:val="4FAD233A"/>
    <w:rsid w:val="500D1522"/>
    <w:rsid w:val="505C6F75"/>
    <w:rsid w:val="53691744"/>
    <w:rsid w:val="538D5CB4"/>
    <w:rsid w:val="5393077B"/>
    <w:rsid w:val="53CC3AF9"/>
    <w:rsid w:val="54160ED0"/>
    <w:rsid w:val="54185D67"/>
    <w:rsid w:val="548B2F99"/>
    <w:rsid w:val="551F7F2D"/>
    <w:rsid w:val="552E363A"/>
    <w:rsid w:val="55DC7495"/>
    <w:rsid w:val="569957F1"/>
    <w:rsid w:val="56B70D0D"/>
    <w:rsid w:val="5720374A"/>
    <w:rsid w:val="573A5BEC"/>
    <w:rsid w:val="5A0740B4"/>
    <w:rsid w:val="5C0D5CD2"/>
    <w:rsid w:val="5CDB71C7"/>
    <w:rsid w:val="5D8B23DE"/>
    <w:rsid w:val="5DE652CA"/>
    <w:rsid w:val="5E055718"/>
    <w:rsid w:val="5E6B1AD0"/>
    <w:rsid w:val="5EA70E76"/>
    <w:rsid w:val="5FA23C0D"/>
    <w:rsid w:val="5FB21F35"/>
    <w:rsid w:val="5FC24F96"/>
    <w:rsid w:val="60477A6E"/>
    <w:rsid w:val="60DC6F0C"/>
    <w:rsid w:val="615E4BA8"/>
    <w:rsid w:val="619F2A32"/>
    <w:rsid w:val="61DE7715"/>
    <w:rsid w:val="63ED600F"/>
    <w:rsid w:val="6411743B"/>
    <w:rsid w:val="66494163"/>
    <w:rsid w:val="665A551B"/>
    <w:rsid w:val="67F3564E"/>
    <w:rsid w:val="684A2231"/>
    <w:rsid w:val="685C00D3"/>
    <w:rsid w:val="692A50A2"/>
    <w:rsid w:val="6998146D"/>
    <w:rsid w:val="69A9300B"/>
    <w:rsid w:val="6AA73689"/>
    <w:rsid w:val="6B65610A"/>
    <w:rsid w:val="6B984824"/>
    <w:rsid w:val="6BAE31A5"/>
    <w:rsid w:val="6C5307DE"/>
    <w:rsid w:val="6EB802B4"/>
    <w:rsid w:val="6ECB32CB"/>
    <w:rsid w:val="6F361182"/>
    <w:rsid w:val="6F8C5CC7"/>
    <w:rsid w:val="6F99080B"/>
    <w:rsid w:val="6FB71EE3"/>
    <w:rsid w:val="6FBA11CD"/>
    <w:rsid w:val="719C7EA4"/>
    <w:rsid w:val="71CD3760"/>
    <w:rsid w:val="73F30AFC"/>
    <w:rsid w:val="746F3FBD"/>
    <w:rsid w:val="748F3354"/>
    <w:rsid w:val="7496112B"/>
    <w:rsid w:val="74D85E71"/>
    <w:rsid w:val="750B7F61"/>
    <w:rsid w:val="75CA51FB"/>
    <w:rsid w:val="77AB74C2"/>
    <w:rsid w:val="7AB65469"/>
    <w:rsid w:val="7B2A485E"/>
    <w:rsid w:val="7C343849"/>
    <w:rsid w:val="7D022120"/>
    <w:rsid w:val="7D8D6925"/>
    <w:rsid w:val="7E2405CB"/>
    <w:rsid w:val="7E4001EC"/>
    <w:rsid w:val="7F6E12D8"/>
    <w:rsid w:val="7F8E0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qFormat/>
    <w:uiPriority w:val="99"/>
    <w:pPr>
      <w:tabs>
        <w:tab w:val="center" w:pos="4153"/>
        <w:tab w:val="right" w:pos="8306"/>
      </w:tabs>
      <w:snapToGrid w:val="0"/>
      <w:jc w:val="left"/>
    </w:pPr>
    <w:rPr>
      <w:sz w:val="18"/>
      <w:szCs w:val="18"/>
    </w:rPr>
  </w:style>
  <w:style w:type="paragraph" w:styleId="3">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kern w:val="0"/>
      <w:sz w:val="24"/>
    </w:rPr>
  </w:style>
  <w:style w:type="character" w:styleId="7">
    <w:name w:val="Strong"/>
    <w:basedOn w:val="6"/>
    <w:qFormat/>
    <w:uiPriority w:val="0"/>
    <w:rPr>
      <w:b/>
    </w:rPr>
  </w:style>
  <w:style w:type="character" w:customStyle="1" w:styleId="8">
    <w:name w:val="NormalCharacter"/>
    <w:qFormat/>
    <w:uiPriority w:val="0"/>
  </w:style>
  <w:style w:type="table" w:customStyle="1" w:styleId="9">
    <w:name w:val="TableNormal"/>
    <w:qFormat/>
    <w:uiPriority w:val="0"/>
    <w:tblPr>
      <w:tblCellMar>
        <w:top w:w="0" w:type="dxa"/>
        <w:left w:w="0" w:type="dxa"/>
        <w:bottom w:w="0" w:type="dxa"/>
        <w:right w:w="0" w:type="dxa"/>
      </w:tblCellMar>
    </w:tblPr>
  </w:style>
  <w:style w:type="character" w:customStyle="1" w:styleId="10">
    <w:name w:val="UserStyle_0"/>
    <w:link w:val="11"/>
    <w:qFormat/>
    <w:uiPriority w:val="0"/>
    <w:rPr>
      <w:kern w:val="2"/>
      <w:sz w:val="18"/>
      <w:szCs w:val="18"/>
    </w:rPr>
  </w:style>
  <w:style w:type="paragraph" w:customStyle="1" w:styleId="11">
    <w:name w:val="页眉1"/>
    <w:basedOn w:val="1"/>
    <w:link w:val="10"/>
    <w:qFormat/>
    <w:uiPriority w:val="0"/>
    <w:pPr>
      <w:pBdr>
        <w:bottom w:val="single" w:color="000000" w:sz="6" w:space="1"/>
      </w:pBdr>
      <w:tabs>
        <w:tab w:val="center" w:pos="4153"/>
        <w:tab w:val="right" w:pos="8306"/>
      </w:tabs>
      <w:snapToGrid w:val="0"/>
      <w:jc w:val="center"/>
    </w:pPr>
    <w:rPr>
      <w:sz w:val="18"/>
      <w:szCs w:val="18"/>
    </w:rPr>
  </w:style>
  <w:style w:type="character" w:customStyle="1" w:styleId="12">
    <w:name w:val="UserStyle_1"/>
    <w:link w:val="13"/>
    <w:qFormat/>
    <w:uiPriority w:val="0"/>
    <w:rPr>
      <w:kern w:val="2"/>
      <w:sz w:val="18"/>
      <w:szCs w:val="18"/>
    </w:rPr>
  </w:style>
  <w:style w:type="paragraph" w:customStyle="1" w:styleId="13">
    <w:name w:val="页脚1"/>
    <w:basedOn w:val="1"/>
    <w:link w:val="12"/>
    <w:qFormat/>
    <w:uiPriority w:val="0"/>
    <w:pPr>
      <w:tabs>
        <w:tab w:val="center" w:pos="4153"/>
        <w:tab w:val="right" w:pos="8306"/>
      </w:tabs>
      <w:snapToGrid w:val="0"/>
      <w:jc w:val="left"/>
    </w:pPr>
    <w:rPr>
      <w:sz w:val="18"/>
      <w:szCs w:val="18"/>
    </w:rPr>
  </w:style>
  <w:style w:type="paragraph" w:customStyle="1" w:styleId="14">
    <w:name w:val="Acetate"/>
    <w:basedOn w:val="1"/>
    <w:qFormat/>
    <w:uiPriority w:val="0"/>
    <w:rPr>
      <w:sz w:val="18"/>
      <w:szCs w:val="18"/>
    </w:rPr>
  </w:style>
  <w:style w:type="character" w:customStyle="1" w:styleId="15">
    <w:name w:val="页眉 字符"/>
    <w:basedOn w:val="6"/>
    <w:link w:val="3"/>
    <w:semiHidden/>
    <w:qFormat/>
    <w:uiPriority w:val="99"/>
    <w:rPr>
      <w:kern w:val="2"/>
      <w:sz w:val="18"/>
      <w:szCs w:val="18"/>
    </w:rPr>
  </w:style>
  <w:style w:type="character" w:customStyle="1" w:styleId="16">
    <w:name w:val="页脚 字符"/>
    <w:basedOn w:val="6"/>
    <w:link w:val="2"/>
    <w:semiHidden/>
    <w:qFormat/>
    <w:uiPriority w:val="99"/>
    <w:rPr>
      <w:kern w:val="2"/>
      <w:sz w:val="18"/>
      <w:szCs w:val="18"/>
    </w:rPr>
  </w:style>
  <w:style w:type="paragraph" w:styleId="17">
    <w:name w:val="List Paragraph"/>
    <w:basedOn w:val="1"/>
    <w:unhideWhenUsed/>
    <w:qFormat/>
    <w:uiPriority w:val="99"/>
    <w:pPr>
      <w:ind w:firstLine="420" w:firstLineChars="200"/>
    </w:p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384</Words>
  <Characters>2191</Characters>
  <Lines>18</Lines>
  <Paragraphs>5</Paragraphs>
  <TotalTime>0</TotalTime>
  <ScaleCrop>false</ScaleCrop>
  <LinksUpToDate>false</LinksUpToDate>
  <CharactersWithSpaces>2570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2019-10-30T07:33:00Z</dcterms:created>
  <dc:creator>XJ-CJ3-21</dc:creator>
  <cp:lastModifiedBy>九日</cp:lastModifiedBy>
  <cp:lastPrinted>2021-10-28T05:02:00Z</cp:lastPrinted>
  <dcterms:modified xsi:type="dcterms:W3CDTF">2021-11-26T07:42:44Z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C148D861A1694A59BB24529938A9F4F3</vt:lpwstr>
  </property>
</Properties>
</file>