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400" w:lineRule="exact"/>
        <w:ind w:firstLine="720" w:firstLineChars="300"/>
        <w:rPr>
          <w:rStyle w:val="8"/>
          <w:rFonts w:ascii="宋体" w:hAnsi="宋体"/>
          <w:bCs/>
          <w:iCs/>
          <w:color w:val="000000"/>
          <w:sz w:val="24"/>
        </w:rPr>
      </w:pPr>
      <w:r>
        <w:rPr>
          <w:rStyle w:val="8"/>
          <w:rFonts w:ascii="宋体" w:hAnsi="宋体"/>
          <w:bCs/>
          <w:iCs/>
          <w:color w:val="000000"/>
          <w:sz w:val="24"/>
        </w:rPr>
        <w:t>证券代码：002332                  证券简称：仙琚制药</w:t>
      </w:r>
    </w:p>
    <w:p>
      <w:pPr>
        <w:spacing w:before="156" w:after="156" w:line="400" w:lineRule="exact"/>
        <w:ind w:firstLine="720" w:firstLineChars="300"/>
        <w:rPr>
          <w:rStyle w:val="8"/>
          <w:rFonts w:ascii="宋体" w:hAnsi="宋体"/>
          <w:bCs/>
          <w:iCs/>
          <w:color w:val="000000"/>
          <w:sz w:val="24"/>
        </w:rPr>
      </w:pPr>
    </w:p>
    <w:p>
      <w:pPr>
        <w:spacing w:before="156" w:after="156" w:line="400" w:lineRule="exact"/>
        <w:jc w:val="center"/>
        <w:rPr>
          <w:rStyle w:val="8"/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Style w:val="8"/>
          <w:rFonts w:ascii="宋体" w:hAnsi="宋体"/>
          <w:b/>
          <w:bCs/>
          <w:iCs/>
          <w:color w:val="000000"/>
          <w:sz w:val="32"/>
          <w:szCs w:val="32"/>
        </w:rPr>
        <w:t>浙江仙琚制药股份有限公司投资者关系活动记录表</w:t>
      </w:r>
    </w:p>
    <w:p>
      <w:pPr>
        <w:spacing w:line="400" w:lineRule="exact"/>
        <w:rPr>
          <w:rStyle w:val="8"/>
          <w:rFonts w:hint="eastAsia" w:ascii="宋体" w:hAnsi="宋体" w:eastAsia="宋体"/>
          <w:bCs/>
          <w:iCs/>
          <w:color w:val="FF0000"/>
          <w:sz w:val="24"/>
          <w:lang w:eastAsia="zh-CN"/>
        </w:rPr>
      </w:pPr>
      <w:r>
        <w:rPr>
          <w:rStyle w:val="8"/>
          <w:rFonts w:ascii="宋体" w:hAnsi="宋体"/>
          <w:bCs/>
          <w:iCs/>
          <w:color w:val="000000"/>
          <w:sz w:val="24"/>
        </w:rPr>
        <w:t xml:space="preserve">                                                      编号：20</w:t>
      </w:r>
      <w:r>
        <w:rPr>
          <w:rStyle w:val="8"/>
          <w:rFonts w:hint="eastAsia" w:ascii="宋体" w:hAnsi="宋体"/>
          <w:bCs/>
          <w:iCs/>
          <w:color w:val="000000"/>
          <w:sz w:val="24"/>
        </w:rPr>
        <w:t>21</w:t>
      </w:r>
      <w:r>
        <w:rPr>
          <w:rStyle w:val="8"/>
          <w:rFonts w:ascii="宋体" w:hAnsi="宋体"/>
          <w:bCs/>
          <w:iCs/>
          <w:color w:val="000000"/>
          <w:sz w:val="24"/>
        </w:rPr>
        <w:t>-0</w:t>
      </w:r>
      <w:r>
        <w:rPr>
          <w:rStyle w:val="8"/>
          <w:rFonts w:hint="eastAsia" w:ascii="宋体" w:hAnsi="宋体"/>
          <w:bCs/>
          <w:iCs/>
          <w:sz w:val="24"/>
        </w:rPr>
        <w:t>0</w:t>
      </w:r>
      <w:r>
        <w:rPr>
          <w:rStyle w:val="8"/>
          <w:rFonts w:hint="eastAsia" w:ascii="宋体" w:hAnsi="宋体"/>
          <w:bCs/>
          <w:iCs/>
          <w:sz w:val="24"/>
          <w:lang w:val="en-US" w:eastAsia="zh-CN"/>
        </w:rPr>
        <w:t>9</w:t>
      </w:r>
    </w:p>
    <w:tbl>
      <w:tblPr>
        <w:tblStyle w:val="5"/>
        <w:tblW w:w="80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6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  <w:t>投资者关系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  <w:t>活动类别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</w:pP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sym w:font="Wingdings 2" w:char="00A3"/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 xml:space="preserve">特定对象调研       </w:t>
            </w: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t>□</w:t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>分析师会议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sym w:font="Wingdings 2" w:char="00A3"/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 xml:space="preserve">媒体采访           </w:t>
            </w: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t>□</w:t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>业绩说明会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t>□</w:t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 xml:space="preserve">新闻发布会         </w:t>
            </w: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t>□</w:t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>路演活动</w:t>
            </w:r>
          </w:p>
          <w:p>
            <w:pPr>
              <w:tabs>
                <w:tab w:val="center" w:pos="3199"/>
              </w:tabs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sym w:font="Wingdings 2" w:char="00A3"/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>现场参观</w:t>
            </w:r>
            <w:r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  <w:t xml:space="preserve">           </w:t>
            </w:r>
            <w:r>
              <w:rPr>
                <w:rStyle w:val="8"/>
                <w:rFonts w:ascii="宋体" w:hAnsi="宋体"/>
                <w:bCs/>
                <w:i w:val="0"/>
                <w:iCs/>
                <w:color w:val="000000"/>
                <w:sz w:val="24"/>
              </w:rPr>
              <w:sym w:font="Wingdings 2" w:char="0052"/>
            </w:r>
            <w:r>
              <w:rPr>
                <w:rStyle w:val="8"/>
                <w:rFonts w:ascii="宋体" w:hAnsi="宋体"/>
                <w:i w:val="0"/>
                <w:iCs/>
                <w:sz w:val="24"/>
              </w:rPr>
              <w:t xml:space="preserve">其他 </w:t>
            </w:r>
            <w:r>
              <w:rPr>
                <w:rStyle w:val="8"/>
                <w:rFonts w:ascii="宋体" w:hAnsi="宋体"/>
                <w:i w:val="0"/>
                <w:iCs/>
                <w:sz w:val="24"/>
                <w:szCs w:val="22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华</w:t>
            </w:r>
            <w:r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  <w:t xml:space="preserve">创证券  大成基金  中融基金  兴业资管 </w:t>
            </w:r>
          </w:p>
          <w:p>
            <w:pPr>
              <w:spacing w:line="480" w:lineRule="atLeast"/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  <w:t xml:space="preserve">天弘基金  德邦基金  兴业基金  淳厚基金 </w:t>
            </w:r>
          </w:p>
          <w:p>
            <w:pPr>
              <w:spacing w:line="480" w:lineRule="atLeast"/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  <w:t xml:space="preserve">工银安盛  广发资管  万家基金  国海自营 </w:t>
            </w:r>
          </w:p>
          <w:p>
            <w:pPr>
              <w:spacing w:line="480" w:lineRule="atLeast"/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  <w:t xml:space="preserve">安信基金  圆信永丰  和谐汇一  中金基金 </w:t>
            </w:r>
          </w:p>
          <w:p>
            <w:pPr>
              <w:spacing w:line="480" w:lineRule="atLeast"/>
              <w:rPr>
                <w:rFonts w:hint="default" w:eastAsia="宋体"/>
                <w:i w:val="0"/>
                <w:iCs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  <w:t xml:space="preserve">长江证券  兴业证券  信达证券  </w:t>
            </w:r>
            <w:r>
              <w:rPr>
                <w:rStyle w:val="8"/>
                <w:rFonts w:hint="default" w:ascii="宋体" w:hAnsi="宋体"/>
                <w:i w:val="0"/>
                <w:iCs/>
                <w:sz w:val="24"/>
                <w:lang w:val="en-US" w:eastAsia="zh-CN"/>
              </w:rPr>
              <w:t>东吴医药</w:t>
            </w:r>
            <w:r>
              <w:rPr>
                <w:rStyle w:val="8"/>
                <w:rFonts w:hint="eastAsia" w:ascii="宋体" w:hAnsi="宋体"/>
                <w:i w:val="0"/>
                <w:i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时间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20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21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年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1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1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月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18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日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eastAsia="zh-CN"/>
              </w:rPr>
              <w:t>上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午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9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: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0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0-1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0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地点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浙江仙琚制药股份有限公司会议室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（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color w:val="auto"/>
                <w:sz w:val="24"/>
                <w:lang w:eastAsia="zh-CN"/>
              </w:rPr>
              <w:t>电话会议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上市公司接待人员姓名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董事会秘书    张王伟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 xml:space="preserve">证券事务代表  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沈旭红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ind w:firstLine="482" w:firstLineChars="200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公司经营情况介绍 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2021年前三季度，公司实现营业收入33.17亿元，同比增长13.07%；实现归属于上市公司股东的净利润4.59亿元，同比增长28%，扣非净利润同比增长30%。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单三季度，公司归母净利润同比增长21%，扣非净利润同比增长21%，毛利率61%，同比增长了1个百分点。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单季度在上年同期高基数的基础上继续保持了20%以上的增长。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公司连续27个季度的持续快速增长，稳健业绩背后的底层逻辑是公司数十年时间积累的产业链优势，公司产品结构优、韧性强。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公司未来将扎扎实实的聚焦甾体激素赛道，把未来几年的目标，长期的目标定好，扎扎实实的在这条甾体激素长坡厚雪的赛道上深耕，不断地向前迈进。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auto"/>
              <w:ind w:firstLine="480"/>
              <w:jc w:val="left"/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</w:rPr>
              <w:t>2、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《</w:t>
            </w:r>
            <w:r>
              <w:rPr>
                <w:rFonts w:hint="default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关于推动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原</w:t>
            </w:r>
            <w:r>
              <w:rPr>
                <w:rFonts w:hint="default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料药产业高质量发展实施方案的通知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》对公司的影响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480"/>
              <w:jc w:val="both"/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最近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国家发展改革委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、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工业和信息化部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颁发了《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关于推动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原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料药产业高质量发展实施方案的通知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》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。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倡导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大力发展特色原料药和创新原料药，提高新产品、高附加值产品比重。重点发展合成生物技术、生物催化剂（酶）筛选与制备等先进技术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。通知的出台对医药产业发展有积极的作用。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480"/>
              <w:jc w:val="both"/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公司是一家原料药和制剂一体化的医药企业，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原料药是公司的根基和优势之一，</w:t>
            </w:r>
            <w:r>
              <w:rPr>
                <w:rStyle w:val="8"/>
                <w:rFonts w:hint="eastAsia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在原料药发展的布局上，公司一直遵行绿色、低碳的发展理念。公司原料药业务已形成了临海川南厂区、台州杨府厂区和意大利Newchem 三大厂区协同发展的新局面。</w:t>
            </w:r>
          </w:p>
          <w:p>
            <w:pPr>
              <w:spacing w:line="360" w:lineRule="auto"/>
              <w:ind w:firstLine="480"/>
              <w:jc w:val="left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甾体激素原</w:t>
            </w:r>
            <w:r>
              <w:rPr>
                <w:rStyle w:val="8"/>
                <w:rFonts w:hint="eastAsia" w:ascii="宋体" w:hAnsi="宋体"/>
                <w:b w:val="0"/>
                <w:bCs/>
                <w:color w:val="auto"/>
                <w:sz w:val="24"/>
                <w:szCs w:val="22"/>
                <w:lang w:val="en-US" w:eastAsia="zh-CN"/>
              </w:rPr>
              <w:t>料药具有高致敏性，对制造工艺、生产环境要求高；工艺过程复杂，兼具发酵和合成工艺。公司高度重视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以技术工艺迭代为基础的提质量扩容，已经专门组建原料药研究团队，优化一批、开发一批。</w:t>
            </w:r>
          </w:p>
          <w:p>
            <w:pPr>
              <w:spacing w:line="360" w:lineRule="auto"/>
              <w:ind w:firstLine="480"/>
              <w:jc w:val="lef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/>
              <w:jc w:val="left"/>
              <w:rPr>
                <w:rFonts w:hint="default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3、杨府原料药新厂区的技术运用上的突破</w:t>
            </w:r>
          </w:p>
          <w:p>
            <w:pPr>
              <w:spacing w:line="360" w:lineRule="auto"/>
              <w:ind w:firstLine="480"/>
              <w:jc w:val="left"/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《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关于推动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原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料药产业高质量发展实施方案的通知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》里提及的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主要任务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：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“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推动生产技术创新升级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，加快合成生物技术、连续流微反应、连续结晶和晶型控制等先进技术开发与应用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”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，以及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“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加快合成生物技术、连续流微反应等先进技术开发与应用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”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技术的迭代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其实也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就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是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要求生产工艺、</w:t>
            </w:r>
            <w:r>
              <w:rPr>
                <w:rStyle w:val="8"/>
                <w:rFonts w:hint="eastAsia" w:ascii="宋体" w:hAnsi="宋体" w:eastAsia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生产配套措施的提升与升级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，对企业生产的自动化程度、生产现场的密闭化管控、人员配置等技术流是一种很高的要求。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杨府原料药新厂区在设计时就考虑这些配套技术的提升，新设备的运用对生产物料投放的精准性、人员的安全性、生产的绿色低碳环保性都是一种提升。公司部份车间在</w:t>
            </w:r>
            <w:r>
              <w:rPr>
                <w:rStyle w:val="8"/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酶</w:t>
            </w:r>
            <w:r>
              <w:rPr>
                <w:rStyle w:val="8"/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催化、连续流方面都有新的尝试与探索。</w:t>
            </w:r>
          </w:p>
          <w:p>
            <w:pPr>
              <w:spacing w:line="360" w:lineRule="auto"/>
              <w:ind w:firstLine="480"/>
              <w:jc w:val="lef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ascii="宋体" w:hAnsi="宋体" w:cs="宋体"/>
                <w:b/>
                <w:bCs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zh-CN"/>
              </w:rPr>
              <w:t>公司制剂业务的情况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呼吸科产品：今年依然保持了高速的增长。主要来自于糠酸莫米松鼻喷剂和噻托溴铵粉雾剂两个品种的增长。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麻醉肌松产品：罗库溴铵注射液前三季度增长较快，目前仍有时间窗口做市场的覆盖和布局。麻醉类的盐酸罗哌卡因注射液，入围第</w:t>
            </w:r>
            <w:r>
              <w:rPr>
                <w:rFonts w:hint="eastAsia" w:ascii="宋体" w:hAnsi="宋体" w:cs="宋体"/>
                <w:i w:val="0"/>
                <w:iCs/>
                <w:sz w:val="24"/>
              </w:rPr>
              <w:t>5批国家集采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，从销售端的反馈来看，销量有质的提升。公司麻醉肌松类原料药集采之前为自用，集采后的此类原料药销售有足够的增长潜力。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妇科产品：黄体酮胶囊是公司目前妇科类主力产品，但公司也做了该产品集采后的接力产品储备。黄体酮软胶囊研发顺利推进，黄体酮凝胶准备正式B</w:t>
            </w:r>
            <w:r>
              <w:rPr>
                <w:rFonts w:ascii="宋体" w:hAnsi="宋体" w:cs="宋体"/>
                <w:i w:val="0"/>
                <w:iCs/>
                <w:sz w:val="24"/>
                <w:lang w:val="zh-CN"/>
              </w:rPr>
              <w:t>E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。另外公司开展很多妇科小而美的产品的开发，比如屈螺酮炔䧳醇片、戊酸雌二醇片等。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皮肤科产品：主要通过OTC的渠道在做，主要产品糠酸莫米松乳膏、曲安奈德益康唑乳膏等，目前不受集采影响，近年一直保持一个较好的增长。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普药产品：普药是仙琚制药的利基和稳定器，总体保持</w:t>
            </w:r>
            <w:r>
              <w:rPr>
                <w:rFonts w:hint="eastAsia" w:ascii="宋体" w:hAnsi="宋体" w:cs="宋体"/>
                <w:i w:val="0"/>
                <w:iCs/>
                <w:sz w:val="24"/>
              </w:rPr>
              <w:t>10%左右的增速。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普药价格低、量大，消耗原料药多，如果原料药价跌，普药制剂端业绩弹性体现；若原料药涨价，原料药端业绩将弹性体现。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/>
                <w:sz w:val="24"/>
                <w:lang w:val="en-US" w:eastAsia="zh-CN"/>
              </w:rPr>
              <w:t>5、杨府原料药厂区认证情况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/>
              <w:jc w:val="left"/>
              <w:rPr>
                <w:rStyle w:val="8"/>
                <w:rFonts w:hint="eastAsia" w:ascii="宋体" w:hAnsi="宋体"/>
                <w:b w:val="0"/>
                <w:bCs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b w:val="0"/>
                <w:bCs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杨府</w:t>
            </w:r>
            <w:r>
              <w:rPr>
                <w:rStyle w:val="8"/>
                <w:rFonts w:hint="eastAsia" w:ascii="宋体" w:hAnsi="宋体"/>
                <w:b w:val="0"/>
                <w:bCs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原料药厂区围绕皮质激素类、孕激素类、性激素类、非激素类的几大品类原料药品种来做。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今年5月份，杨府原料药厂区部分产品取得了欧盟的CEP证书，欧洲市场的市场准入已取得。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今年9月份，杨府原料药厂区部分产品接受了日本客户的远程审计认证，目前已开始接收订单。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/>
              <w:jc w:val="left"/>
              <w:rPr>
                <w:rFonts w:hint="default" w:ascii="宋体" w:hAnsi="宋体" w:cs="宋体"/>
                <w:i w:val="0"/>
                <w:iCs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/>
                <w:sz w:val="24"/>
                <w:lang w:val="en-US" w:eastAsia="zh-CN"/>
              </w:rPr>
              <w:t>杨府原料药厂区在今年3 、4月份就做好了美国FDA认证迎检的准备工作，疫情的原因，到目前为止还没有接到明确来检查的通知。FDA认证的延期，在一定程度上影响了公司在北美、南美等市场的客户开拓进度。这些市场一部分客户样品验证批已到达，但是形成确认的销售模式还有待FDA认证的通过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firstLine="482" w:firstLineChars="200"/>
              <w:jc w:val="both"/>
              <w:rPr>
                <w:rStyle w:val="8"/>
                <w:rFonts w:hint="eastAsia" w:ascii="宋体" w:hAnsi="宋体"/>
                <w:b/>
                <w:bCs w:val="0"/>
                <w:color w:val="auto"/>
                <w:sz w:val="24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bCs w:val="0"/>
                <w:color w:val="auto"/>
                <w:sz w:val="24"/>
                <w:szCs w:val="22"/>
                <w:lang w:val="en-US" w:eastAsia="zh-CN"/>
              </w:rPr>
              <w:t>5、公司中长期战略定位及未来的发展布局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8"/>
                <w:rFonts w:hint="eastAsia" w:ascii="宋体" w:hAnsi="宋体"/>
                <w:b w:val="0"/>
                <w:bCs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 w:val="0"/>
                <w:bCs/>
                <w:sz w:val="24"/>
                <w:szCs w:val="22"/>
                <w:highlight w:val="none"/>
                <w:lang w:val="en-US" w:eastAsia="zh-CN"/>
              </w:rPr>
              <w:t>全球范围内的甾体药物的市场容量大，厂家主要集中在大型跨国制药公司，每家公司也各具特点，分别在呼吸科、雌激素补充、短效避孕药、皮质激素制剂等某类治疗领域独具特色。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80" w:firstLineChars="200"/>
              <w:rPr>
                <w:rStyle w:val="8"/>
                <w:rFonts w:hint="eastAsia" w:ascii="宋体" w:hAnsi="宋体" w:eastAsia="宋体"/>
                <w:bCs/>
                <w:iCs/>
                <w:color w:val="auto"/>
                <w:sz w:val="24"/>
                <w:szCs w:val="22"/>
                <w:lang w:eastAsia="zh-CN"/>
              </w:rPr>
            </w:pP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公司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  <w:lang w:eastAsia="zh-CN"/>
              </w:rPr>
              <w:t>将长期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聚焦甾体激素领域，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  <w:lang w:eastAsia="zh-CN"/>
              </w:rPr>
              <w:t>做全、做精激素产业链、不断丰富原料药及制剂产品结构，专注于综合能力提升，不断提升产品的价值，在行业内形成小而美的行业特色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</w:rPr>
              <w:t>。</w:t>
            </w:r>
            <w:r>
              <w:rPr>
                <w:rStyle w:val="8"/>
                <w:rFonts w:hint="eastAsia" w:ascii="宋体" w:hAnsi="宋体"/>
                <w:bCs/>
                <w:iCs/>
                <w:color w:val="auto"/>
                <w:sz w:val="24"/>
                <w:szCs w:val="22"/>
                <w:lang w:eastAsia="zh-CN"/>
              </w:rPr>
              <w:t>在自身发展上争取保持盈利和增长的持续性。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hint="eastAsia" w:asciiTheme="majorEastAsia" w:hAnsiTheme="majorEastAsia" w:eastAsiaTheme="majorEastAsia" w:cstheme="majorEastAsia"/>
                <w:b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80" w:lineRule="atLeast"/>
              <w:ind w:firstLine="482" w:firstLineChars="200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  <w:szCs w:val="22"/>
              </w:rPr>
            </w:pPr>
            <w:r>
              <w:rPr>
                <w:rStyle w:val="8"/>
                <w:rFonts w:hint="eastAsia" w:ascii="宋体" w:hAnsi="宋体"/>
                <w:b/>
                <w:bCs/>
                <w:i w:val="0"/>
                <w:iCs/>
                <w:sz w:val="24"/>
                <w:szCs w:val="22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/>
                <w:b/>
                <w:bCs/>
                <w:i w:val="0"/>
                <w:iCs/>
                <w:sz w:val="24"/>
                <w:szCs w:val="22"/>
              </w:rPr>
              <w:t>、集采对公司未来发展有多大的影响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公司的产品若纳入集采，主要是麻醉肌松制剂产品的收入端可能会有影响。顺阿曲库铵集采影响从二季度已经开始体现。盐酸罗哌卡因注射液入围第</w:t>
            </w:r>
            <w:r>
              <w:rPr>
                <w:rFonts w:hint="eastAsia" w:ascii="宋体" w:hAnsi="宋体" w:cs="宋体"/>
                <w:i w:val="0"/>
                <w:iCs/>
                <w:sz w:val="24"/>
              </w:rPr>
              <w:t>5批国家集采</w:t>
            </w: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后销量的迅速提升。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i w:val="0"/>
                <w:iCs/>
                <w:sz w:val="24"/>
                <w:lang w:val="zh-CN"/>
              </w:rPr>
            </w:pPr>
            <w:r>
              <w:rPr>
                <w:rFonts w:hint="eastAsia" w:ascii="宋体" w:hAnsi="宋体" w:cs="宋体"/>
                <w:i w:val="0"/>
                <w:iCs/>
                <w:sz w:val="24"/>
                <w:lang w:val="zh-CN"/>
              </w:rPr>
              <w:t>基于公司的产品具有多品类、小品种的竞争特点，而且有原料药与制剂一体化的优势，集采影响相对中性。公司将努力加快产品开发，丰富产品梯队，持续增强公司竞争力。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i w:val="0"/>
                <w:i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附件清单</w:t>
            </w:r>
          </w:p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（如有）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tLeast"/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/>
                <w:bCs/>
                <w:i w:val="0"/>
                <w:iCs/>
                <w:sz w:val="24"/>
              </w:rPr>
              <w:t>日期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tLeast"/>
              <w:rPr>
                <w:rStyle w:val="8"/>
                <w:rFonts w:ascii="宋体" w:hAnsi="宋体"/>
                <w:bCs/>
                <w:i w:val="0"/>
                <w:iCs/>
                <w:sz w:val="24"/>
              </w:rPr>
            </w:pP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20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21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年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</w:rPr>
              <w:t>1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1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月</w:t>
            </w:r>
            <w:r>
              <w:rPr>
                <w:rStyle w:val="8"/>
                <w:rFonts w:hint="eastAsia" w:ascii="宋体" w:hAnsi="宋体"/>
                <w:bCs/>
                <w:i w:val="0"/>
                <w:iCs/>
                <w:sz w:val="24"/>
                <w:lang w:val="en-US" w:eastAsia="zh-CN"/>
              </w:rPr>
              <w:t>18</w:t>
            </w:r>
            <w:r>
              <w:rPr>
                <w:rStyle w:val="8"/>
                <w:rFonts w:ascii="宋体" w:hAnsi="宋体"/>
                <w:bCs/>
                <w:i w:val="0"/>
                <w:iCs/>
                <w:sz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Style w:val="8"/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1E"/>
    <w:rsid w:val="00005FA7"/>
    <w:rsid w:val="00057AE4"/>
    <w:rsid w:val="00081D3D"/>
    <w:rsid w:val="000C486D"/>
    <w:rsid w:val="000C4F35"/>
    <w:rsid w:val="000D1F10"/>
    <w:rsid w:val="00103205"/>
    <w:rsid w:val="00110DE8"/>
    <w:rsid w:val="0015093F"/>
    <w:rsid w:val="001E1145"/>
    <w:rsid w:val="001F191E"/>
    <w:rsid w:val="00201345"/>
    <w:rsid w:val="0022211E"/>
    <w:rsid w:val="00222F19"/>
    <w:rsid w:val="00332E5E"/>
    <w:rsid w:val="00371570"/>
    <w:rsid w:val="00387786"/>
    <w:rsid w:val="003B1596"/>
    <w:rsid w:val="004678F9"/>
    <w:rsid w:val="00487A49"/>
    <w:rsid w:val="004F00E5"/>
    <w:rsid w:val="00500DAB"/>
    <w:rsid w:val="00525F7E"/>
    <w:rsid w:val="0058307A"/>
    <w:rsid w:val="005B166D"/>
    <w:rsid w:val="005B4EF6"/>
    <w:rsid w:val="00606D48"/>
    <w:rsid w:val="00622F44"/>
    <w:rsid w:val="0068122E"/>
    <w:rsid w:val="006B5E98"/>
    <w:rsid w:val="006C6D15"/>
    <w:rsid w:val="006D7679"/>
    <w:rsid w:val="00744422"/>
    <w:rsid w:val="0076775C"/>
    <w:rsid w:val="007C652A"/>
    <w:rsid w:val="007D35F5"/>
    <w:rsid w:val="007D4175"/>
    <w:rsid w:val="007D4FE4"/>
    <w:rsid w:val="007E581E"/>
    <w:rsid w:val="00814FD3"/>
    <w:rsid w:val="0081520B"/>
    <w:rsid w:val="008660D4"/>
    <w:rsid w:val="00874952"/>
    <w:rsid w:val="009152F2"/>
    <w:rsid w:val="00937AF5"/>
    <w:rsid w:val="009B2524"/>
    <w:rsid w:val="009D6D09"/>
    <w:rsid w:val="00A128E7"/>
    <w:rsid w:val="00A36A03"/>
    <w:rsid w:val="00A41C80"/>
    <w:rsid w:val="00A5307E"/>
    <w:rsid w:val="00A82882"/>
    <w:rsid w:val="00A83BAF"/>
    <w:rsid w:val="00AD38E6"/>
    <w:rsid w:val="00B11987"/>
    <w:rsid w:val="00B408F7"/>
    <w:rsid w:val="00B94424"/>
    <w:rsid w:val="00C02AD6"/>
    <w:rsid w:val="00C05E07"/>
    <w:rsid w:val="00C627DB"/>
    <w:rsid w:val="00C65DF6"/>
    <w:rsid w:val="00C768A8"/>
    <w:rsid w:val="00C80D76"/>
    <w:rsid w:val="00D07E0E"/>
    <w:rsid w:val="00D25AA4"/>
    <w:rsid w:val="00D738BE"/>
    <w:rsid w:val="00DA300A"/>
    <w:rsid w:val="00DA5084"/>
    <w:rsid w:val="00DC3EE9"/>
    <w:rsid w:val="00DE7351"/>
    <w:rsid w:val="00DF39A2"/>
    <w:rsid w:val="00E064AD"/>
    <w:rsid w:val="00E3536B"/>
    <w:rsid w:val="00E5244D"/>
    <w:rsid w:val="00E55D97"/>
    <w:rsid w:val="00E855D0"/>
    <w:rsid w:val="00E93FF4"/>
    <w:rsid w:val="00EA0645"/>
    <w:rsid w:val="00EA647D"/>
    <w:rsid w:val="00EB0518"/>
    <w:rsid w:val="00EB5DDB"/>
    <w:rsid w:val="00EE25F4"/>
    <w:rsid w:val="00EF46B3"/>
    <w:rsid w:val="00EF60D6"/>
    <w:rsid w:val="00EF70D7"/>
    <w:rsid w:val="00F45868"/>
    <w:rsid w:val="00F769E6"/>
    <w:rsid w:val="00F9280D"/>
    <w:rsid w:val="00F93DC3"/>
    <w:rsid w:val="00FA1297"/>
    <w:rsid w:val="018A2030"/>
    <w:rsid w:val="01F73F85"/>
    <w:rsid w:val="04DB2A85"/>
    <w:rsid w:val="05A476DD"/>
    <w:rsid w:val="05A8673E"/>
    <w:rsid w:val="05FF6A84"/>
    <w:rsid w:val="07E21993"/>
    <w:rsid w:val="08310812"/>
    <w:rsid w:val="08847F54"/>
    <w:rsid w:val="09ED7BC3"/>
    <w:rsid w:val="0A513EF4"/>
    <w:rsid w:val="0BBB7134"/>
    <w:rsid w:val="0D1A21BD"/>
    <w:rsid w:val="0D3C0A15"/>
    <w:rsid w:val="0E461615"/>
    <w:rsid w:val="0F5F4A3E"/>
    <w:rsid w:val="1073569C"/>
    <w:rsid w:val="1078223A"/>
    <w:rsid w:val="115B5732"/>
    <w:rsid w:val="120E58A2"/>
    <w:rsid w:val="134A22E1"/>
    <w:rsid w:val="14E92568"/>
    <w:rsid w:val="14EA0F69"/>
    <w:rsid w:val="15232298"/>
    <w:rsid w:val="16376096"/>
    <w:rsid w:val="16D9538A"/>
    <w:rsid w:val="175F7544"/>
    <w:rsid w:val="1A4673B5"/>
    <w:rsid w:val="1B5319E3"/>
    <w:rsid w:val="1BC6055E"/>
    <w:rsid w:val="1BFE60B2"/>
    <w:rsid w:val="1C6B6A39"/>
    <w:rsid w:val="1CBD00E8"/>
    <w:rsid w:val="1FE16E93"/>
    <w:rsid w:val="1FF50555"/>
    <w:rsid w:val="21143FEB"/>
    <w:rsid w:val="21C244F9"/>
    <w:rsid w:val="220D028A"/>
    <w:rsid w:val="220D3ED8"/>
    <w:rsid w:val="22C9024F"/>
    <w:rsid w:val="23AB07F1"/>
    <w:rsid w:val="24971EEC"/>
    <w:rsid w:val="25733901"/>
    <w:rsid w:val="25DC4DB0"/>
    <w:rsid w:val="261310D6"/>
    <w:rsid w:val="26F977A3"/>
    <w:rsid w:val="27431237"/>
    <w:rsid w:val="277A14C9"/>
    <w:rsid w:val="27DC13F0"/>
    <w:rsid w:val="27FE2942"/>
    <w:rsid w:val="297D12CC"/>
    <w:rsid w:val="2991528F"/>
    <w:rsid w:val="2AA62E99"/>
    <w:rsid w:val="2B83699C"/>
    <w:rsid w:val="2B934C8C"/>
    <w:rsid w:val="2DD91531"/>
    <w:rsid w:val="2E6E03AE"/>
    <w:rsid w:val="2F1B113A"/>
    <w:rsid w:val="2F5C2219"/>
    <w:rsid w:val="308D7B33"/>
    <w:rsid w:val="31AE41C3"/>
    <w:rsid w:val="32B37A41"/>
    <w:rsid w:val="334B3268"/>
    <w:rsid w:val="33EE0B12"/>
    <w:rsid w:val="34742D29"/>
    <w:rsid w:val="354D4669"/>
    <w:rsid w:val="35650F9F"/>
    <w:rsid w:val="358A36EA"/>
    <w:rsid w:val="35FF02DB"/>
    <w:rsid w:val="38001ED1"/>
    <w:rsid w:val="38D048E6"/>
    <w:rsid w:val="43037788"/>
    <w:rsid w:val="43FD313F"/>
    <w:rsid w:val="44440DC3"/>
    <w:rsid w:val="44973F8C"/>
    <w:rsid w:val="454B7AF0"/>
    <w:rsid w:val="461155D5"/>
    <w:rsid w:val="464F535A"/>
    <w:rsid w:val="465A4338"/>
    <w:rsid w:val="46B50B3D"/>
    <w:rsid w:val="472E2DC8"/>
    <w:rsid w:val="4A8E0001"/>
    <w:rsid w:val="4AC44538"/>
    <w:rsid w:val="4AF22833"/>
    <w:rsid w:val="4BC739A7"/>
    <w:rsid w:val="4C2A0B13"/>
    <w:rsid w:val="4C88610C"/>
    <w:rsid w:val="4DF447B7"/>
    <w:rsid w:val="4E0825A9"/>
    <w:rsid w:val="4EC76EE5"/>
    <w:rsid w:val="4EE26B11"/>
    <w:rsid w:val="4F1B338E"/>
    <w:rsid w:val="4FAD233A"/>
    <w:rsid w:val="500D1522"/>
    <w:rsid w:val="505C6F75"/>
    <w:rsid w:val="53691744"/>
    <w:rsid w:val="538D5CB4"/>
    <w:rsid w:val="53CC3AF9"/>
    <w:rsid w:val="54160ED0"/>
    <w:rsid w:val="54185D67"/>
    <w:rsid w:val="548B2F99"/>
    <w:rsid w:val="551F7F2D"/>
    <w:rsid w:val="552E363A"/>
    <w:rsid w:val="55DC7495"/>
    <w:rsid w:val="569957F1"/>
    <w:rsid w:val="56B70D0D"/>
    <w:rsid w:val="5720374A"/>
    <w:rsid w:val="573A5BEC"/>
    <w:rsid w:val="5A0740B4"/>
    <w:rsid w:val="5C0D5CD2"/>
    <w:rsid w:val="5D8B23DE"/>
    <w:rsid w:val="5DE652CA"/>
    <w:rsid w:val="5E055718"/>
    <w:rsid w:val="5EA70E76"/>
    <w:rsid w:val="5FA23C0D"/>
    <w:rsid w:val="5FB21F35"/>
    <w:rsid w:val="5FC24F96"/>
    <w:rsid w:val="60477A6E"/>
    <w:rsid w:val="615E4BA8"/>
    <w:rsid w:val="619F2A32"/>
    <w:rsid w:val="61DE7715"/>
    <w:rsid w:val="63ED600F"/>
    <w:rsid w:val="6411743B"/>
    <w:rsid w:val="66494163"/>
    <w:rsid w:val="665A551B"/>
    <w:rsid w:val="67F3564E"/>
    <w:rsid w:val="684A2231"/>
    <w:rsid w:val="685C00D3"/>
    <w:rsid w:val="692A50A2"/>
    <w:rsid w:val="6998146D"/>
    <w:rsid w:val="69A9300B"/>
    <w:rsid w:val="6AA73689"/>
    <w:rsid w:val="6B65610A"/>
    <w:rsid w:val="6B984824"/>
    <w:rsid w:val="6BAE31A5"/>
    <w:rsid w:val="6C5307DE"/>
    <w:rsid w:val="6EB802B4"/>
    <w:rsid w:val="6ECB32CB"/>
    <w:rsid w:val="6F361182"/>
    <w:rsid w:val="6F8C5CC7"/>
    <w:rsid w:val="6F99080B"/>
    <w:rsid w:val="719C7EA4"/>
    <w:rsid w:val="73F30AFC"/>
    <w:rsid w:val="746F3FBD"/>
    <w:rsid w:val="748F3354"/>
    <w:rsid w:val="7496112B"/>
    <w:rsid w:val="74D85E71"/>
    <w:rsid w:val="750B7F61"/>
    <w:rsid w:val="75CA51FB"/>
    <w:rsid w:val="7AB65469"/>
    <w:rsid w:val="7C343849"/>
    <w:rsid w:val="7D022120"/>
    <w:rsid w:val="7D8D6925"/>
    <w:rsid w:val="7E2405CB"/>
    <w:rsid w:val="7E4001EC"/>
    <w:rsid w:val="7F6E12D8"/>
    <w:rsid w:val="7F8E0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UserStyle_1"/>
    <w:link w:val="13"/>
    <w:qFormat/>
    <w:uiPriority w:val="0"/>
    <w:rPr>
      <w:kern w:val="2"/>
      <w:sz w:val="18"/>
      <w:szCs w:val="18"/>
    </w:rPr>
  </w:style>
  <w:style w:type="paragraph" w:customStyle="1" w:styleId="13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Acetate"/>
    <w:basedOn w:val="1"/>
    <w:qFormat/>
    <w:uiPriority w:val="0"/>
    <w:rPr>
      <w:sz w:val="18"/>
      <w:szCs w:val="18"/>
    </w:rPr>
  </w:style>
  <w:style w:type="character" w:customStyle="1" w:styleId="15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383</Words>
  <Characters>2187</Characters>
  <Lines>18</Lines>
  <Paragraphs>5</Paragraphs>
  <TotalTime>7</TotalTime>
  <ScaleCrop>false</ScaleCrop>
  <LinksUpToDate>false</LinksUpToDate>
  <CharactersWithSpaces>2565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2019-10-30T07:33:00Z</dcterms:created>
  <dc:creator>XJ-CJ3-21</dc:creator>
  <cp:lastModifiedBy>九日</cp:lastModifiedBy>
  <cp:lastPrinted>2021-10-28T05:02:00Z</cp:lastPrinted>
  <dcterms:modified xsi:type="dcterms:W3CDTF">2021-11-18T07:41:52Z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FC79280CAD8D4292B750340B6DB08FC1</vt:lpwstr>
  </property>
</Properties>
</file>