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400" w:lineRule="exact"/>
        <w:ind w:firstLine="720" w:firstLineChars="300"/>
        <w:rPr>
          <w:rStyle w:val="6"/>
          <w:rFonts w:ascii="宋体" w:hAnsi="宋体"/>
          <w:bCs/>
          <w:iCs/>
          <w:color w:val="000000"/>
          <w:sz w:val="24"/>
        </w:rPr>
      </w:pPr>
      <w:r>
        <w:rPr>
          <w:rStyle w:val="6"/>
          <w:rFonts w:ascii="宋体" w:hAnsi="宋体"/>
          <w:bCs/>
          <w:iCs/>
          <w:color w:val="000000"/>
          <w:sz w:val="24"/>
        </w:rPr>
        <w:t xml:space="preserve">证券代码：002332              </w:t>
      </w:r>
      <w:r>
        <w:rPr>
          <w:rStyle w:val="6"/>
          <w:rFonts w:hint="eastAsia" w:ascii="宋体" w:hAnsi="宋体"/>
          <w:bCs/>
          <w:iCs/>
          <w:color w:val="000000"/>
          <w:sz w:val="24"/>
        </w:rPr>
        <w:t xml:space="preserve"> </w:t>
      </w:r>
      <w:r>
        <w:rPr>
          <w:rStyle w:val="6"/>
          <w:rFonts w:ascii="宋体" w:hAnsi="宋体"/>
          <w:bCs/>
          <w:iCs/>
          <w:color w:val="000000"/>
          <w:sz w:val="24"/>
        </w:rPr>
        <w:t xml:space="preserve">    证券简称：仙琚制药</w:t>
      </w:r>
    </w:p>
    <w:p>
      <w:pPr>
        <w:spacing w:before="156" w:after="156" w:line="400" w:lineRule="exact"/>
        <w:jc w:val="center"/>
        <w:rPr>
          <w:rStyle w:val="6"/>
          <w:rFonts w:ascii="宋体" w:hAnsi="宋体"/>
          <w:b/>
          <w:bCs/>
          <w:iCs/>
          <w:color w:val="000000"/>
          <w:sz w:val="32"/>
          <w:szCs w:val="32"/>
        </w:rPr>
      </w:pPr>
    </w:p>
    <w:p>
      <w:pPr>
        <w:spacing w:before="156" w:after="156" w:line="400" w:lineRule="exact"/>
        <w:jc w:val="center"/>
        <w:rPr>
          <w:rStyle w:val="6"/>
          <w:rFonts w:ascii="宋体" w:hAnsi="宋体"/>
          <w:b/>
          <w:bCs/>
          <w:iCs/>
          <w:color w:val="000000"/>
          <w:sz w:val="30"/>
          <w:szCs w:val="30"/>
        </w:rPr>
      </w:pPr>
      <w:r>
        <w:rPr>
          <w:rStyle w:val="6"/>
          <w:rFonts w:ascii="宋体" w:hAnsi="宋体"/>
          <w:b/>
          <w:bCs/>
          <w:iCs/>
          <w:color w:val="000000"/>
          <w:sz w:val="30"/>
          <w:szCs w:val="30"/>
        </w:rPr>
        <w:t>浙江仙琚制药股份有限公司投资者关系活动记录表</w:t>
      </w:r>
    </w:p>
    <w:p>
      <w:pPr>
        <w:spacing w:line="400" w:lineRule="exact"/>
        <w:rPr>
          <w:rStyle w:val="6"/>
          <w:rFonts w:hint="eastAsia" w:ascii="宋体" w:hAnsi="宋体" w:eastAsia="宋体"/>
          <w:bCs/>
          <w:iCs/>
          <w:color w:val="FF0000"/>
          <w:sz w:val="24"/>
          <w:lang w:eastAsia="zh-CN"/>
        </w:rPr>
      </w:pPr>
      <w:r>
        <w:rPr>
          <w:rStyle w:val="6"/>
          <w:rFonts w:ascii="宋体" w:hAnsi="宋体"/>
          <w:bCs/>
          <w:iCs/>
          <w:color w:val="000000"/>
          <w:sz w:val="24"/>
        </w:rPr>
        <w:t xml:space="preserve">  </w:t>
      </w:r>
      <w:r>
        <w:rPr>
          <w:rStyle w:val="6"/>
          <w:rFonts w:hint="eastAsia" w:ascii="宋体" w:hAnsi="宋体"/>
          <w:bCs/>
          <w:iCs/>
          <w:color w:val="000000"/>
          <w:sz w:val="24"/>
        </w:rPr>
        <w:t xml:space="preserve">                                                </w:t>
      </w:r>
      <w:r>
        <w:rPr>
          <w:rStyle w:val="6"/>
          <w:rFonts w:ascii="宋体" w:hAnsi="宋体"/>
          <w:bCs/>
          <w:iCs/>
          <w:color w:val="000000"/>
          <w:sz w:val="24"/>
        </w:rPr>
        <w:t>编号：20</w:t>
      </w:r>
      <w:r>
        <w:rPr>
          <w:rStyle w:val="6"/>
          <w:rFonts w:hint="eastAsia" w:ascii="宋体" w:hAnsi="宋体"/>
          <w:bCs/>
          <w:iCs/>
          <w:color w:val="000000"/>
          <w:sz w:val="24"/>
        </w:rPr>
        <w:t>2</w:t>
      </w:r>
      <w:r>
        <w:rPr>
          <w:rStyle w:val="6"/>
          <w:rFonts w:hint="eastAsia" w:ascii="宋体" w:hAnsi="宋体"/>
          <w:bCs/>
          <w:iCs/>
          <w:color w:val="000000"/>
          <w:sz w:val="24"/>
          <w:lang w:val="en-US" w:eastAsia="zh-CN"/>
        </w:rPr>
        <w:t>1</w:t>
      </w:r>
      <w:r>
        <w:rPr>
          <w:rStyle w:val="6"/>
          <w:rFonts w:ascii="宋体" w:hAnsi="宋体"/>
          <w:bCs/>
          <w:iCs/>
          <w:color w:val="000000"/>
          <w:sz w:val="24"/>
        </w:rPr>
        <w:t>-0</w:t>
      </w:r>
      <w:r>
        <w:rPr>
          <w:rStyle w:val="6"/>
          <w:rFonts w:ascii="宋体" w:hAnsi="宋体"/>
          <w:bCs/>
          <w:iCs/>
          <w:sz w:val="24"/>
        </w:rPr>
        <w:t>0</w:t>
      </w:r>
      <w:r>
        <w:rPr>
          <w:rStyle w:val="6"/>
          <w:rFonts w:hint="eastAsia" w:ascii="宋体" w:hAnsi="宋体"/>
          <w:bCs/>
          <w:iCs/>
          <w:sz w:val="24"/>
          <w:lang w:val="en-US" w:eastAsia="zh-CN"/>
        </w:rPr>
        <w:t>5</w:t>
      </w:r>
    </w:p>
    <w:tbl>
      <w:tblPr>
        <w:tblStyle w:val="4"/>
        <w:tblW w:w="82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7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0" w:hRule="atLeast"/>
        </w:trPr>
        <w:tc>
          <w:tcPr>
            <w:tcW w:w="1134"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投资者关系活动类别</w:t>
            </w:r>
          </w:p>
          <w:p>
            <w:pPr>
              <w:spacing w:line="480" w:lineRule="atLeast"/>
              <w:rPr>
                <w:rStyle w:val="6"/>
                <w:rFonts w:ascii="宋体" w:hAnsi="宋体"/>
                <w:b/>
                <w:bCs/>
                <w:iCs/>
                <w:color w:val="000000"/>
                <w:sz w:val="24"/>
              </w:rPr>
            </w:pPr>
          </w:p>
        </w:tc>
        <w:tc>
          <w:tcPr>
            <w:tcW w:w="7118"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sym w:font="Wingdings 2" w:char="00A3"/>
            </w:r>
            <w:r>
              <w:rPr>
                <w:rStyle w:val="6"/>
                <w:rFonts w:ascii="宋体" w:hAnsi="宋体"/>
                <w:sz w:val="24"/>
              </w:rPr>
              <w:t xml:space="preserve">特定对象调研       </w:t>
            </w:r>
            <w:r>
              <w:rPr>
                <w:rStyle w:val="6"/>
                <w:rFonts w:ascii="宋体" w:hAnsi="宋体"/>
                <w:bCs/>
                <w:iCs/>
                <w:color w:val="000000"/>
                <w:sz w:val="24"/>
              </w:rPr>
              <w:t>□</w:t>
            </w:r>
            <w:r>
              <w:rPr>
                <w:rStyle w:val="6"/>
                <w:rFonts w:ascii="宋体" w:hAnsi="宋体"/>
                <w:sz w:val="24"/>
              </w:rPr>
              <w:t>分析师会议</w:t>
            </w:r>
          </w:p>
          <w:p>
            <w:pPr>
              <w:spacing w:line="480" w:lineRule="atLeast"/>
              <w:rPr>
                <w:rStyle w:val="6"/>
                <w:rFonts w:ascii="宋体" w:hAnsi="宋体"/>
                <w:bCs/>
                <w:iCs/>
                <w:color w:val="000000"/>
                <w:sz w:val="24"/>
              </w:rPr>
            </w:pPr>
            <w:r>
              <w:rPr>
                <w:rStyle w:val="6"/>
                <w:rFonts w:ascii="宋体" w:hAnsi="宋体"/>
                <w:bCs/>
                <w:iCs/>
                <w:color w:val="000000"/>
                <w:sz w:val="24"/>
              </w:rPr>
              <w:sym w:font="Wingdings 2" w:char="00A3"/>
            </w:r>
            <w:r>
              <w:rPr>
                <w:rStyle w:val="6"/>
                <w:rFonts w:ascii="宋体" w:hAnsi="宋体"/>
                <w:sz w:val="24"/>
              </w:rPr>
              <w:t xml:space="preserve">媒体采访           </w:t>
            </w:r>
            <w:r>
              <w:rPr>
                <w:rStyle w:val="6"/>
                <w:rFonts w:ascii="宋体" w:hAnsi="宋体"/>
                <w:bCs/>
                <w:iCs/>
                <w:color w:val="000000"/>
                <w:sz w:val="24"/>
              </w:rPr>
              <w:t>□</w:t>
            </w:r>
            <w:r>
              <w:rPr>
                <w:rStyle w:val="6"/>
                <w:rFonts w:ascii="宋体" w:hAnsi="宋体"/>
                <w:sz w:val="24"/>
              </w:rPr>
              <w:t>业绩说明会</w:t>
            </w:r>
          </w:p>
          <w:p>
            <w:pPr>
              <w:spacing w:line="480" w:lineRule="atLeast"/>
              <w:rPr>
                <w:rStyle w:val="6"/>
                <w:rFonts w:ascii="宋体" w:hAnsi="宋体"/>
                <w:bCs/>
                <w:iCs/>
                <w:color w:val="000000"/>
                <w:sz w:val="24"/>
              </w:rPr>
            </w:pPr>
            <w:r>
              <w:rPr>
                <w:rStyle w:val="6"/>
                <w:rFonts w:ascii="宋体" w:hAnsi="宋体"/>
                <w:bCs/>
                <w:iCs/>
                <w:color w:val="000000"/>
                <w:sz w:val="24"/>
              </w:rPr>
              <w:t>□</w:t>
            </w:r>
            <w:r>
              <w:rPr>
                <w:rStyle w:val="6"/>
                <w:rFonts w:ascii="宋体" w:hAnsi="宋体"/>
                <w:sz w:val="24"/>
              </w:rPr>
              <w:t xml:space="preserve">新闻发布会         </w:t>
            </w:r>
            <w:r>
              <w:rPr>
                <w:rStyle w:val="6"/>
                <w:rFonts w:ascii="宋体" w:hAnsi="宋体"/>
                <w:bCs/>
                <w:iCs/>
                <w:color w:val="000000"/>
                <w:sz w:val="24"/>
              </w:rPr>
              <w:t>□</w:t>
            </w:r>
            <w:r>
              <w:rPr>
                <w:rStyle w:val="6"/>
                <w:rFonts w:ascii="宋体" w:hAnsi="宋体"/>
                <w:sz w:val="24"/>
              </w:rPr>
              <w:t>路演活动</w:t>
            </w:r>
          </w:p>
          <w:p>
            <w:pPr>
              <w:tabs>
                <w:tab w:val="left" w:pos="3045"/>
                <w:tab w:val="center" w:pos="3199"/>
              </w:tabs>
              <w:spacing w:line="480" w:lineRule="atLeast"/>
              <w:rPr>
                <w:rStyle w:val="6"/>
                <w:rFonts w:ascii="宋体" w:hAnsi="宋体"/>
                <w:bCs/>
                <w:iCs/>
                <w:color w:val="000000"/>
                <w:sz w:val="24"/>
              </w:rPr>
            </w:pPr>
            <w:r>
              <w:rPr>
                <w:rStyle w:val="6"/>
                <w:rFonts w:ascii="宋体" w:hAnsi="宋体"/>
                <w:bCs/>
                <w:iCs/>
                <w:color w:val="000000"/>
                <w:sz w:val="24"/>
              </w:rPr>
              <w:sym w:font="Wingdings 2" w:char="0052"/>
            </w:r>
            <w:r>
              <w:rPr>
                <w:rStyle w:val="6"/>
                <w:rFonts w:ascii="宋体" w:hAnsi="宋体"/>
                <w:sz w:val="24"/>
              </w:rPr>
              <w:t>现场参观</w:t>
            </w:r>
            <w:r>
              <w:rPr>
                <w:rStyle w:val="6"/>
                <w:rFonts w:hint="eastAsia" w:ascii="宋体" w:hAnsi="宋体"/>
                <w:sz w:val="24"/>
                <w:lang w:val="en-US" w:eastAsia="zh-CN"/>
              </w:rPr>
              <w:t xml:space="preserve">           </w:t>
            </w:r>
            <w:r>
              <w:rPr>
                <w:rStyle w:val="6"/>
                <w:rFonts w:ascii="宋体" w:hAnsi="宋体"/>
                <w:bCs/>
                <w:iCs/>
                <w:color w:val="000000"/>
                <w:sz w:val="24"/>
              </w:rPr>
              <w:sym w:font="Wingdings 2" w:char="00A3"/>
            </w:r>
            <w:r>
              <w:rPr>
                <w:rStyle w:val="6"/>
                <w:rFonts w:ascii="宋体" w:hAnsi="宋体"/>
                <w:sz w:val="24"/>
              </w:rPr>
              <w:t xml:space="preserve">其他 </w:t>
            </w:r>
            <w:r>
              <w:rPr>
                <w:rStyle w:val="6"/>
                <w:rFonts w:ascii="宋体" w:hAnsi="宋体"/>
                <w:sz w:val="24"/>
                <w:szCs w:val="22"/>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134"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参与单位名称及人员姓名</w:t>
            </w:r>
          </w:p>
        </w:tc>
        <w:tc>
          <w:tcPr>
            <w:tcW w:w="7118" w:type="dxa"/>
            <w:tcBorders>
              <w:top w:val="single" w:color="000000" w:sz="4" w:space="0"/>
              <w:left w:val="single" w:color="000000" w:sz="4" w:space="0"/>
              <w:bottom w:val="single" w:color="000000" w:sz="4" w:space="0"/>
              <w:right w:val="single" w:color="000000" w:sz="4" w:space="0"/>
            </w:tcBorders>
          </w:tcPr>
          <w:p>
            <w:pPr>
              <w:spacing w:line="360" w:lineRule="auto"/>
              <w:jc w:val="left"/>
              <w:rPr>
                <w:rStyle w:val="6"/>
                <w:rFonts w:hint="eastAsia" w:ascii="宋体" w:hAnsi="宋体" w:eastAsia="宋体"/>
                <w:sz w:val="24"/>
                <w:lang w:val="en-US" w:eastAsia="zh-CN"/>
              </w:rPr>
            </w:pPr>
            <w:r>
              <w:rPr>
                <w:rStyle w:val="6"/>
                <w:rFonts w:hint="eastAsia" w:ascii="宋体" w:hAnsi="宋体"/>
                <w:sz w:val="24"/>
                <w:lang w:eastAsia="zh-CN"/>
              </w:rPr>
              <w:t>方正证券</w:t>
            </w:r>
            <w:r>
              <w:rPr>
                <w:rStyle w:val="6"/>
                <w:rFonts w:hint="eastAsia" w:ascii="宋体" w:hAnsi="宋体"/>
                <w:sz w:val="24"/>
                <w:lang w:val="en-US" w:eastAsia="zh-CN"/>
              </w:rPr>
              <w:t xml:space="preserve">             华夏保险</w:t>
            </w:r>
          </w:p>
          <w:p>
            <w:pPr>
              <w:spacing w:line="360" w:lineRule="auto"/>
              <w:jc w:val="left"/>
              <w:rPr>
                <w:rStyle w:val="6"/>
                <w:rFonts w:hint="eastAsia" w:ascii="宋体" w:hAnsi="宋体"/>
                <w:sz w:val="24"/>
                <w:lang w:val="en-US" w:eastAsia="zh-CN"/>
              </w:rPr>
            </w:pPr>
            <w:r>
              <w:rPr>
                <w:rStyle w:val="6"/>
                <w:rFonts w:hint="eastAsia" w:ascii="宋体" w:hAnsi="宋体"/>
                <w:sz w:val="24"/>
                <w:lang w:val="en-US" w:eastAsia="zh-CN"/>
              </w:rPr>
              <w:t>国寿资产             中国人寿</w:t>
            </w:r>
          </w:p>
          <w:p>
            <w:pPr>
              <w:tabs>
                <w:tab w:val="left" w:pos="3045"/>
                <w:tab w:val="center" w:pos="3199"/>
              </w:tabs>
              <w:spacing w:line="480" w:lineRule="atLeast"/>
              <w:rPr>
                <w:rStyle w:val="6"/>
                <w:rFonts w:hint="default" w:ascii="宋体" w:hAnsi="宋体"/>
                <w:bCs/>
                <w:iCs/>
                <w:color w:val="000000"/>
                <w:sz w:val="24"/>
                <w:lang w:val="en-US" w:eastAsia="zh-CN"/>
              </w:rPr>
            </w:pPr>
            <w:r>
              <w:rPr>
                <w:rStyle w:val="6"/>
                <w:rFonts w:hint="eastAsia" w:ascii="宋体" w:hAnsi="宋体"/>
                <w:sz w:val="24"/>
                <w:lang w:val="en-US" w:eastAsia="zh-CN"/>
              </w:rPr>
              <w:t>宏信钱潮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134"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时间</w:t>
            </w:r>
          </w:p>
        </w:tc>
        <w:tc>
          <w:tcPr>
            <w:tcW w:w="7118"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hint="default" w:ascii="宋体" w:hAnsi="宋体"/>
                <w:bCs/>
                <w:iCs/>
                <w:color w:val="000000"/>
                <w:sz w:val="24"/>
                <w:lang w:val="en-US"/>
              </w:rPr>
            </w:pPr>
            <w:r>
              <w:rPr>
                <w:rStyle w:val="6"/>
                <w:rFonts w:ascii="宋体" w:hAnsi="宋体"/>
                <w:bCs/>
                <w:iCs/>
                <w:color w:val="000000"/>
                <w:sz w:val="24"/>
              </w:rPr>
              <w:t>20</w:t>
            </w:r>
            <w:r>
              <w:rPr>
                <w:rStyle w:val="6"/>
                <w:rFonts w:hint="eastAsia" w:ascii="宋体" w:hAnsi="宋体"/>
                <w:bCs/>
                <w:iCs/>
                <w:color w:val="000000"/>
                <w:sz w:val="24"/>
              </w:rPr>
              <w:t>2</w:t>
            </w:r>
            <w:r>
              <w:rPr>
                <w:rStyle w:val="6"/>
                <w:rFonts w:hint="eastAsia" w:ascii="宋体" w:hAnsi="宋体"/>
                <w:bCs/>
                <w:iCs/>
                <w:color w:val="000000"/>
                <w:sz w:val="24"/>
                <w:lang w:val="en-US" w:eastAsia="zh-CN"/>
              </w:rPr>
              <w:t>1</w:t>
            </w:r>
            <w:r>
              <w:rPr>
                <w:rStyle w:val="6"/>
                <w:rFonts w:ascii="宋体" w:hAnsi="宋体"/>
                <w:bCs/>
                <w:iCs/>
                <w:color w:val="000000"/>
                <w:sz w:val="24"/>
              </w:rPr>
              <w:t>年</w:t>
            </w:r>
            <w:r>
              <w:rPr>
                <w:rStyle w:val="6"/>
                <w:rFonts w:hint="eastAsia" w:ascii="宋体" w:hAnsi="宋体"/>
                <w:bCs/>
                <w:iCs/>
                <w:color w:val="000000"/>
                <w:sz w:val="24"/>
                <w:lang w:val="en-US" w:eastAsia="zh-CN"/>
              </w:rPr>
              <w:t>6</w:t>
            </w:r>
            <w:r>
              <w:rPr>
                <w:rStyle w:val="6"/>
                <w:rFonts w:ascii="宋体" w:hAnsi="宋体"/>
                <w:bCs/>
                <w:iCs/>
                <w:color w:val="000000"/>
                <w:sz w:val="24"/>
              </w:rPr>
              <w:t>月</w:t>
            </w:r>
            <w:r>
              <w:rPr>
                <w:rStyle w:val="6"/>
                <w:rFonts w:hint="eastAsia" w:ascii="宋体" w:hAnsi="宋体"/>
                <w:bCs/>
                <w:iCs/>
                <w:color w:val="000000"/>
                <w:sz w:val="24"/>
                <w:lang w:val="en-US" w:eastAsia="zh-CN"/>
              </w:rPr>
              <w:t>8</w:t>
            </w:r>
            <w:r>
              <w:rPr>
                <w:rStyle w:val="6"/>
                <w:rFonts w:ascii="宋体" w:hAnsi="宋体"/>
                <w:bCs/>
                <w:iCs/>
                <w:color w:val="000000"/>
                <w:sz w:val="24"/>
              </w:rPr>
              <w:t>日</w:t>
            </w:r>
            <w:r>
              <w:rPr>
                <w:rStyle w:val="6"/>
                <w:rFonts w:hint="eastAsia" w:ascii="宋体" w:hAnsi="宋体"/>
                <w:bCs/>
                <w:iCs/>
                <w:color w:val="000000"/>
                <w:sz w:val="24"/>
                <w:lang w:val="en-US" w:eastAsia="zh-CN"/>
              </w:rPr>
              <w:t>下</w:t>
            </w:r>
            <w:r>
              <w:rPr>
                <w:rStyle w:val="6"/>
                <w:rFonts w:ascii="宋体" w:hAnsi="宋体"/>
                <w:bCs/>
                <w:iCs/>
                <w:color w:val="000000"/>
                <w:sz w:val="24"/>
              </w:rPr>
              <w:t>午</w:t>
            </w:r>
            <w:r>
              <w:rPr>
                <w:rStyle w:val="6"/>
                <w:rFonts w:hint="eastAsia" w:ascii="宋体" w:hAnsi="宋体"/>
                <w:bCs/>
                <w:iCs/>
                <w:color w:val="000000"/>
                <w:sz w:val="24"/>
                <w:lang w:val="en-US" w:eastAsia="zh-CN"/>
              </w:rPr>
              <w:t>14</w:t>
            </w:r>
            <w:r>
              <w:rPr>
                <w:rStyle w:val="6"/>
                <w:rFonts w:ascii="宋体" w:hAnsi="宋体"/>
                <w:bCs/>
                <w:iCs/>
                <w:color w:val="000000"/>
                <w:sz w:val="24"/>
              </w:rPr>
              <w:t>：</w:t>
            </w:r>
            <w:r>
              <w:rPr>
                <w:rStyle w:val="6"/>
                <w:rFonts w:hint="eastAsia" w:ascii="宋体" w:hAnsi="宋体"/>
                <w:bCs/>
                <w:iCs/>
                <w:color w:val="000000"/>
                <w:sz w:val="24"/>
                <w:lang w:val="en-US" w:eastAsia="zh-CN"/>
              </w:rPr>
              <w:t>3</w:t>
            </w:r>
            <w:r>
              <w:rPr>
                <w:rStyle w:val="6"/>
                <w:rFonts w:ascii="宋体" w:hAnsi="宋体"/>
                <w:bCs/>
                <w:iCs/>
                <w:color w:val="000000"/>
                <w:sz w:val="24"/>
              </w:rPr>
              <w:t>0-</w:t>
            </w:r>
            <w:r>
              <w:rPr>
                <w:rStyle w:val="6"/>
                <w:rFonts w:hint="eastAsia" w:ascii="宋体" w:hAnsi="宋体"/>
                <w:bCs/>
                <w:iCs/>
                <w:color w:val="000000"/>
                <w:sz w:val="24"/>
                <w:lang w:val="en-US" w:eastAsia="zh-CN"/>
              </w:rPr>
              <w:t>15</w:t>
            </w:r>
            <w:r>
              <w:rPr>
                <w:rStyle w:val="6"/>
                <w:rFonts w:hint="eastAsia" w:ascii="宋体" w:hAnsi="宋体"/>
                <w:bCs/>
                <w:iCs/>
                <w:color w:val="000000"/>
                <w:sz w:val="24"/>
              </w:rPr>
              <w:t>:</w:t>
            </w:r>
            <w:r>
              <w:rPr>
                <w:rStyle w:val="6"/>
                <w:rFonts w:hint="eastAsia" w:ascii="宋体" w:hAnsi="宋体"/>
                <w:bCs/>
                <w:iCs/>
                <w:color w:val="000000"/>
                <w:sz w:val="24"/>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134"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地点</w:t>
            </w:r>
          </w:p>
        </w:tc>
        <w:tc>
          <w:tcPr>
            <w:tcW w:w="7118"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hint="eastAsia" w:ascii="宋体" w:hAnsi="宋体" w:eastAsia="宋体"/>
                <w:bCs/>
                <w:iCs/>
                <w:color w:val="000000"/>
                <w:sz w:val="24"/>
                <w:lang w:eastAsia="zh-CN"/>
              </w:rPr>
            </w:pPr>
            <w:r>
              <w:rPr>
                <w:rStyle w:val="6"/>
                <w:rFonts w:hint="eastAsia" w:ascii="宋体" w:hAnsi="宋体"/>
                <w:bCs/>
                <w:iCs/>
                <w:color w:val="000000"/>
                <w:sz w:val="24"/>
                <w:szCs w:val="22"/>
                <w:lang w:eastAsia="zh-CN"/>
              </w:rPr>
              <w:t>仙琚制药会议室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34"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上市公司接待人员姓名</w:t>
            </w:r>
          </w:p>
        </w:tc>
        <w:tc>
          <w:tcPr>
            <w:tcW w:w="7118"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t>董事会秘书  张王伟</w:t>
            </w:r>
          </w:p>
          <w:p>
            <w:pPr>
              <w:spacing w:line="480" w:lineRule="atLeast"/>
              <w:rPr>
                <w:rStyle w:val="6"/>
                <w:rFonts w:hint="default" w:ascii="宋体" w:hAnsi="宋体" w:eastAsia="宋体"/>
                <w:bCs/>
                <w:iCs/>
                <w:color w:val="000000"/>
                <w:sz w:val="24"/>
                <w:lang w:val="en-US" w:eastAsia="zh-CN"/>
              </w:rPr>
            </w:pPr>
            <w:r>
              <w:rPr>
                <w:rStyle w:val="6"/>
                <w:rFonts w:hint="eastAsia" w:ascii="宋体" w:hAnsi="宋体"/>
                <w:bCs/>
                <w:iCs/>
                <w:color w:val="000000"/>
                <w:sz w:val="24"/>
                <w:lang w:eastAsia="zh-CN"/>
              </w:rPr>
              <w:t>证券事务代表</w:t>
            </w:r>
            <w:r>
              <w:rPr>
                <w:rStyle w:val="6"/>
                <w:rFonts w:hint="eastAsia" w:ascii="宋体" w:hAnsi="宋体"/>
                <w:bCs/>
                <w:iCs/>
                <w:color w:val="000000"/>
                <w:sz w:val="24"/>
                <w:lang w:val="en-US" w:eastAsia="zh-CN"/>
              </w:rPr>
              <w:t xml:space="preserve">  沈旭红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4"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sz w:val="24"/>
              </w:rPr>
            </w:pPr>
            <w:r>
              <w:rPr>
                <w:rStyle w:val="6"/>
                <w:rFonts w:ascii="宋体" w:hAnsi="宋体"/>
                <w:b/>
                <w:bCs/>
                <w:iCs/>
                <w:color w:val="000000"/>
                <w:sz w:val="24"/>
              </w:rPr>
              <w:t>投资者关系活动主要内容介绍</w:t>
            </w:r>
          </w:p>
          <w:p>
            <w:pPr>
              <w:spacing w:line="480" w:lineRule="atLeast"/>
              <w:rPr>
                <w:rStyle w:val="6"/>
                <w:rFonts w:ascii="宋体" w:hAnsi="宋体"/>
                <w:b/>
                <w:bCs/>
                <w:iCs/>
                <w:color w:val="000000"/>
                <w:sz w:val="24"/>
              </w:rPr>
            </w:pPr>
          </w:p>
        </w:tc>
        <w:tc>
          <w:tcPr>
            <w:tcW w:w="7118" w:type="dxa"/>
            <w:tcBorders>
              <w:top w:val="single" w:color="000000" w:sz="4" w:space="0"/>
              <w:left w:val="single" w:color="000000" w:sz="4" w:space="0"/>
              <w:bottom w:val="single" w:color="000000" w:sz="4" w:space="0"/>
              <w:right w:val="single" w:color="000000" w:sz="4" w:space="0"/>
            </w:tcBorders>
          </w:tcPr>
          <w:p>
            <w:pPr>
              <w:numPr>
                <w:ilvl w:val="0"/>
                <w:numId w:val="0"/>
              </w:numPr>
              <w:spacing w:line="360" w:lineRule="auto"/>
              <w:jc w:val="left"/>
              <w:rPr>
                <w:rStyle w:val="6"/>
                <w:rFonts w:hint="eastAsia" w:ascii="宋体" w:hAnsi="宋体"/>
                <w:b/>
                <w:bCs w:val="0"/>
                <w:color w:val="000000" w:themeColor="text1"/>
                <w:sz w:val="24"/>
                <w:szCs w:val="22"/>
                <w:lang w:val="en-US" w:eastAsia="zh-CN"/>
                <w14:textFill>
                  <w14:solidFill>
                    <w14:schemeClr w14:val="tx1"/>
                  </w14:solidFill>
                </w14:textFill>
              </w:rPr>
            </w:pPr>
            <w:r>
              <w:rPr>
                <w:rStyle w:val="6"/>
                <w:rFonts w:hint="eastAsia" w:ascii="宋体" w:hAnsi="宋体"/>
                <w:b/>
                <w:bCs w:val="0"/>
                <w:color w:val="000000" w:themeColor="text1"/>
                <w:sz w:val="24"/>
                <w:szCs w:val="22"/>
                <w:lang w:val="en-US" w:eastAsia="zh-CN"/>
                <w14:textFill>
                  <w14:solidFill>
                    <w14:schemeClr w14:val="tx1"/>
                  </w14:solidFill>
                </w14:textFill>
              </w:rPr>
              <w:t>1、国家集中带量采购政策对公司的影响</w:t>
            </w:r>
          </w:p>
          <w:p>
            <w:pPr>
              <w:keepNext w:val="0"/>
              <w:keepLines w:val="0"/>
              <w:widowControl/>
              <w:suppressLineNumbers w:val="0"/>
              <w:spacing w:before="0" w:beforeAutospacing="0" w:after="0" w:afterAutospacing="0" w:line="480" w:lineRule="atLeast"/>
              <w:ind w:left="0" w:right="0" w:firstLine="480" w:firstLineChars="200"/>
              <w:rPr>
                <w:rStyle w:val="6"/>
                <w:rFonts w:hint="eastAsia" w:ascii="宋体" w:hAnsi="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公司是原料药和制剂一体化企业，制剂产品以专科用药为主，拥有妇科计生、麻醉肌松、呼吸、皮肤、普药等众多产品群。若</w:t>
            </w:r>
            <w:r>
              <w:rPr>
                <w:rStyle w:val="6"/>
                <w:rFonts w:hint="eastAsia" w:ascii="宋体" w:hAnsi="宋体"/>
                <w:bCs/>
                <w:sz w:val="24"/>
                <w:szCs w:val="22"/>
              </w:rPr>
              <w:t>公司的产品</w:t>
            </w:r>
            <w:r>
              <w:rPr>
                <w:rStyle w:val="6"/>
                <w:rFonts w:hint="eastAsia" w:ascii="宋体" w:hAnsi="宋体"/>
                <w:bCs/>
                <w:sz w:val="24"/>
                <w:szCs w:val="22"/>
                <w:lang w:eastAsia="zh-CN"/>
              </w:rPr>
              <w:t>今后</w:t>
            </w:r>
            <w:r>
              <w:rPr>
                <w:rStyle w:val="6"/>
                <w:rFonts w:hint="eastAsia" w:ascii="宋体" w:hAnsi="宋体"/>
                <w:bCs/>
                <w:sz w:val="24"/>
                <w:szCs w:val="22"/>
              </w:rPr>
              <w:t>纳入集采，基于公司的产品具有多品类、小品种的特点，而且有原料药与制剂一体化的优势，</w:t>
            </w:r>
            <w:r>
              <w:rPr>
                <w:rStyle w:val="6"/>
                <w:rFonts w:hint="eastAsia" w:ascii="宋体" w:hAnsi="宋体"/>
                <w:bCs/>
                <w:sz w:val="24"/>
                <w:szCs w:val="22"/>
                <w:lang w:eastAsia="zh-CN"/>
              </w:rPr>
              <w:t>需要具体问题具体分析</w:t>
            </w:r>
            <w:r>
              <w:rPr>
                <w:rStyle w:val="6"/>
                <w:rFonts w:hint="eastAsia" w:ascii="宋体" w:hAnsi="宋体"/>
                <w:bCs/>
                <w:sz w:val="24"/>
                <w:szCs w:val="22"/>
              </w:rPr>
              <w:t>。</w:t>
            </w:r>
            <w:r>
              <w:rPr>
                <w:rStyle w:val="6"/>
                <w:rFonts w:hint="eastAsia" w:ascii="宋体" w:hAnsi="宋体"/>
                <w:b w:val="0"/>
                <w:bCs/>
                <w:color w:val="000000" w:themeColor="text1"/>
                <w:sz w:val="24"/>
                <w:szCs w:val="22"/>
                <w:lang w:val="en-US" w:eastAsia="zh-CN"/>
                <w14:textFill>
                  <w14:solidFill>
                    <w14:schemeClr w14:val="tx1"/>
                  </w14:solidFill>
                </w14:textFill>
              </w:rPr>
              <w:t>随着集采</w:t>
            </w:r>
            <w:r>
              <w:rPr>
                <w:rStyle w:val="6"/>
                <w:rFonts w:hint="eastAsia" w:ascii="宋体" w:hAnsi="宋体"/>
                <w:bCs/>
                <w:iCs/>
                <w:color w:val="000000" w:themeColor="text1"/>
                <w:sz w:val="24"/>
                <w:szCs w:val="22"/>
                <w:lang w:val="en-US" w:eastAsia="zh-CN"/>
                <w14:textFill>
                  <w14:solidFill>
                    <w14:schemeClr w14:val="tx1"/>
                  </w14:solidFill>
                </w14:textFill>
              </w:rPr>
              <w:t>政策在全国范围内的加快实施，公司将结合产品特点，加大研发投入，提高市场突破能力。</w:t>
            </w:r>
            <w:r>
              <w:rPr>
                <w:rStyle w:val="6"/>
                <w:rFonts w:hint="eastAsia" w:ascii="宋体" w:hAnsi="宋体"/>
                <w:b w:val="0"/>
                <w:bCs/>
                <w:color w:val="000000" w:themeColor="text1"/>
                <w:sz w:val="24"/>
                <w:szCs w:val="22"/>
                <w:lang w:val="en-US" w:eastAsia="zh-CN"/>
                <w14:textFill>
                  <w14:solidFill>
                    <w14:schemeClr w14:val="tx1"/>
                  </w14:solidFill>
                </w14:textFill>
              </w:rPr>
              <w:t>公司将做好产品选择，构建有独特优势的产品群。</w:t>
            </w:r>
          </w:p>
          <w:p>
            <w:pPr>
              <w:keepNext w:val="0"/>
              <w:keepLines w:val="0"/>
              <w:widowControl/>
              <w:suppressLineNumbers w:val="0"/>
              <w:spacing w:before="0" w:beforeAutospacing="0" w:after="0" w:afterAutospacing="0" w:line="480" w:lineRule="atLeast"/>
              <w:ind w:left="0" w:right="0" w:firstLine="480" w:firstLineChars="200"/>
              <w:rPr>
                <w:rStyle w:val="6"/>
                <w:rFonts w:hint="default" w:ascii="宋体" w:hAnsi="宋体"/>
                <w:b w:val="0"/>
                <w:bCs/>
                <w:color w:val="000000" w:themeColor="text1"/>
                <w:sz w:val="24"/>
                <w:szCs w:val="22"/>
                <w:lang w:val="en-US" w:eastAsia="zh-CN"/>
                <w14:textFill>
                  <w14:solidFill>
                    <w14:schemeClr w14:val="tx1"/>
                  </w14:solidFill>
                </w14:textFill>
              </w:rPr>
            </w:pPr>
          </w:p>
          <w:p>
            <w:pPr>
              <w:spacing w:line="480" w:lineRule="atLeast"/>
              <w:rPr>
                <w:rStyle w:val="6"/>
                <w:rFonts w:hint="eastAsia" w:ascii="宋体" w:hAnsi="宋体" w:eastAsia="宋体"/>
                <w:b/>
                <w:bCs/>
                <w:sz w:val="24"/>
                <w:szCs w:val="22"/>
                <w:lang w:eastAsia="zh-CN"/>
              </w:rPr>
            </w:pPr>
            <w:r>
              <w:rPr>
                <w:rStyle w:val="6"/>
                <w:rFonts w:hint="eastAsia" w:ascii="宋体" w:hAnsi="宋体"/>
                <w:b/>
                <w:bCs/>
                <w:sz w:val="24"/>
                <w:szCs w:val="22"/>
                <w:lang w:val="en-US" w:eastAsia="zh-CN"/>
              </w:rPr>
              <w:t>2、</w:t>
            </w:r>
            <w:r>
              <w:rPr>
                <w:rStyle w:val="6"/>
                <w:rFonts w:hint="eastAsia" w:ascii="宋体" w:hAnsi="宋体"/>
                <w:b/>
                <w:bCs/>
                <w:sz w:val="24"/>
                <w:szCs w:val="22"/>
              </w:rPr>
              <w:t>公司目前一致性评</w:t>
            </w:r>
            <w:r>
              <w:rPr>
                <w:rStyle w:val="6"/>
                <w:rFonts w:hint="eastAsia" w:ascii="宋体" w:hAnsi="宋体"/>
                <w:b/>
                <w:bCs/>
                <w:sz w:val="24"/>
                <w:szCs w:val="22"/>
                <w:lang w:eastAsia="zh-CN"/>
              </w:rPr>
              <w:t>价工作进展情况</w:t>
            </w:r>
          </w:p>
          <w:p>
            <w:pPr>
              <w:spacing w:line="480" w:lineRule="atLeast"/>
              <w:ind w:firstLine="480" w:firstLineChars="200"/>
              <w:rPr>
                <w:rStyle w:val="6"/>
                <w:rFonts w:hint="eastAsia" w:ascii="宋体" w:hAnsi="宋体"/>
                <w:bCs/>
                <w:sz w:val="24"/>
                <w:szCs w:val="22"/>
              </w:rPr>
            </w:pPr>
            <w:r>
              <w:rPr>
                <w:rStyle w:val="6"/>
                <w:rFonts w:hint="eastAsia" w:ascii="宋体" w:hAnsi="宋体"/>
                <w:bCs/>
                <w:sz w:val="24"/>
                <w:szCs w:val="22"/>
              </w:rPr>
              <w:t>公司计划一致性评价品种22个，已申报8个，目前公司已经通过一致性评价的药品有</w:t>
            </w:r>
            <w:r>
              <w:rPr>
                <w:rStyle w:val="6"/>
                <w:rFonts w:hint="eastAsia" w:ascii="宋体" w:hAnsi="宋体"/>
                <w:bCs/>
                <w:sz w:val="24"/>
                <w:szCs w:val="22"/>
                <w:lang w:val="en-US" w:eastAsia="zh-CN"/>
              </w:rPr>
              <w:t>4</w:t>
            </w:r>
            <w:r>
              <w:rPr>
                <w:rStyle w:val="6"/>
                <w:rFonts w:hint="eastAsia" w:ascii="宋体" w:hAnsi="宋体"/>
                <w:bCs/>
                <w:sz w:val="24"/>
                <w:szCs w:val="22"/>
              </w:rPr>
              <w:t>个品种，</w:t>
            </w:r>
            <w:r>
              <w:rPr>
                <w:rStyle w:val="6"/>
                <w:rFonts w:hint="eastAsia" w:ascii="宋体" w:hAnsi="宋体"/>
                <w:bCs/>
                <w:sz w:val="24"/>
                <w:szCs w:val="22"/>
                <w:lang w:val="en-US" w:eastAsia="zh-CN"/>
              </w:rPr>
              <w:t>7</w:t>
            </w:r>
            <w:r>
              <w:rPr>
                <w:rStyle w:val="6"/>
                <w:rFonts w:hint="eastAsia" w:ascii="宋体" w:hAnsi="宋体"/>
                <w:bCs/>
                <w:sz w:val="24"/>
                <w:szCs w:val="22"/>
              </w:rPr>
              <w:t>个品规，具体</w:t>
            </w:r>
            <w:r>
              <w:rPr>
                <w:rStyle w:val="6"/>
                <w:rFonts w:hint="eastAsia" w:ascii="宋体" w:hAnsi="宋体"/>
                <w:bCs/>
                <w:sz w:val="24"/>
                <w:szCs w:val="22"/>
                <w:lang w:eastAsia="zh-CN"/>
              </w:rPr>
              <w:t>为</w:t>
            </w:r>
            <w:r>
              <w:rPr>
                <w:rStyle w:val="6"/>
                <w:rFonts w:hint="eastAsia" w:ascii="宋体" w:hAnsi="宋体"/>
                <w:bCs/>
                <w:sz w:val="24"/>
                <w:szCs w:val="22"/>
              </w:rPr>
              <w:t>非那雄胺片、罗库溴铵注射液、米索前列醇片</w:t>
            </w:r>
            <w:r>
              <w:rPr>
                <w:rStyle w:val="6"/>
                <w:rFonts w:hint="eastAsia" w:ascii="宋体" w:hAnsi="宋体"/>
                <w:bCs/>
                <w:sz w:val="24"/>
                <w:szCs w:val="22"/>
                <w:lang w:eastAsia="zh-CN"/>
              </w:rPr>
              <w:t>、盐酸罗哌卡因注射液</w:t>
            </w:r>
            <w:r>
              <w:rPr>
                <w:rStyle w:val="6"/>
                <w:rFonts w:hint="eastAsia" w:ascii="宋体" w:hAnsi="宋体"/>
                <w:bCs/>
                <w:sz w:val="24"/>
                <w:szCs w:val="22"/>
              </w:rPr>
              <w:t>。</w:t>
            </w:r>
            <w:r>
              <w:rPr>
                <w:rStyle w:val="6"/>
                <w:rFonts w:hint="eastAsia" w:ascii="宋体" w:hAnsi="宋体"/>
                <w:bCs/>
                <w:sz w:val="24"/>
                <w:szCs w:val="22"/>
                <w:lang w:eastAsia="zh-CN"/>
              </w:rPr>
              <w:t>其中已过评的</w:t>
            </w:r>
            <w:r>
              <w:rPr>
                <w:rStyle w:val="6"/>
                <w:rFonts w:hint="eastAsia" w:ascii="宋体" w:hAnsi="宋体"/>
                <w:bCs/>
                <w:sz w:val="24"/>
                <w:szCs w:val="22"/>
              </w:rPr>
              <w:t>米索前列醇片</w:t>
            </w:r>
            <w:r>
              <w:rPr>
                <w:rStyle w:val="6"/>
                <w:rFonts w:hint="eastAsia" w:ascii="宋体" w:hAnsi="宋体"/>
                <w:bCs/>
                <w:sz w:val="24"/>
                <w:szCs w:val="22"/>
                <w:lang w:eastAsia="zh-CN"/>
              </w:rPr>
              <w:t>、盐酸罗哌卡因注射液被</w:t>
            </w:r>
            <w:r>
              <w:rPr>
                <w:rStyle w:val="6"/>
                <w:rFonts w:hint="eastAsia" w:ascii="宋体" w:hAnsi="宋体"/>
                <w:b w:val="0"/>
                <w:bCs/>
                <w:color w:val="000000" w:themeColor="text1"/>
                <w:sz w:val="24"/>
                <w:szCs w:val="22"/>
                <w:lang w:val="en-US" w:eastAsia="zh-CN"/>
                <w14:textFill>
                  <w14:solidFill>
                    <w14:schemeClr w14:val="tx1"/>
                  </w14:solidFill>
                </w14:textFill>
              </w:rPr>
              <w:t>列入第五次国家药品集中带量采购名录。</w:t>
            </w:r>
            <w:r>
              <w:rPr>
                <w:rStyle w:val="6"/>
                <w:rFonts w:hint="eastAsia" w:ascii="宋体" w:hAnsi="宋体"/>
                <w:bCs/>
                <w:sz w:val="24"/>
                <w:szCs w:val="22"/>
              </w:rPr>
              <w:t>公司计划新仿制品种18个，已申报</w:t>
            </w:r>
            <w:r>
              <w:rPr>
                <w:rStyle w:val="6"/>
                <w:rFonts w:hint="eastAsia" w:ascii="宋体" w:hAnsi="宋体"/>
                <w:bCs/>
                <w:sz w:val="24"/>
                <w:szCs w:val="22"/>
                <w:lang w:val="en-US" w:eastAsia="zh-CN"/>
              </w:rPr>
              <w:t>5</w:t>
            </w:r>
            <w:r>
              <w:rPr>
                <w:rStyle w:val="6"/>
                <w:rFonts w:hint="eastAsia" w:ascii="宋体" w:hAnsi="宋体"/>
                <w:bCs/>
                <w:sz w:val="24"/>
                <w:szCs w:val="22"/>
              </w:rPr>
              <w:t>个</w:t>
            </w:r>
            <w:r>
              <w:rPr>
                <w:rStyle w:val="6"/>
                <w:rFonts w:hint="eastAsia" w:ascii="宋体" w:hAnsi="宋体"/>
                <w:bCs/>
                <w:sz w:val="24"/>
                <w:szCs w:val="22"/>
                <w:lang w:eastAsia="zh-CN"/>
              </w:rPr>
              <w:t>，</w:t>
            </w:r>
            <w:r>
              <w:rPr>
                <w:rStyle w:val="6"/>
                <w:rFonts w:hint="eastAsia" w:ascii="宋体" w:hAnsi="宋体"/>
                <w:bCs/>
                <w:sz w:val="24"/>
                <w:szCs w:val="22"/>
              </w:rPr>
              <w:t>具体</w:t>
            </w:r>
            <w:r>
              <w:rPr>
                <w:rStyle w:val="6"/>
                <w:rFonts w:hint="eastAsia" w:ascii="宋体" w:hAnsi="宋体"/>
                <w:bCs/>
                <w:sz w:val="24"/>
                <w:szCs w:val="22"/>
                <w:lang w:eastAsia="zh-CN"/>
              </w:rPr>
              <w:t>为：</w:t>
            </w:r>
            <w:r>
              <w:rPr>
                <w:rStyle w:val="6"/>
                <w:rFonts w:hint="eastAsia" w:ascii="宋体" w:hAnsi="宋体"/>
                <w:bCs/>
                <w:sz w:val="24"/>
                <w:szCs w:val="22"/>
              </w:rPr>
              <w:t>舒更葡糖钠注射液、甲泼尼龙片、苯磺顺阿曲库铵注射液、戊酸雌二醇片</w:t>
            </w:r>
            <w:r>
              <w:rPr>
                <w:rStyle w:val="6"/>
                <w:rFonts w:hint="eastAsia" w:ascii="宋体" w:hAnsi="宋体"/>
                <w:bCs/>
                <w:sz w:val="24"/>
                <w:szCs w:val="22"/>
                <w:lang w:eastAsia="zh-CN"/>
              </w:rPr>
              <w:t>、屈螺酮炔雌醇片</w:t>
            </w:r>
            <w:r>
              <w:rPr>
                <w:rStyle w:val="6"/>
                <w:rFonts w:hint="eastAsia" w:ascii="宋体" w:hAnsi="宋体"/>
                <w:bCs/>
                <w:sz w:val="24"/>
                <w:szCs w:val="22"/>
              </w:rPr>
              <w:t>。</w:t>
            </w:r>
          </w:p>
          <w:p>
            <w:pPr>
              <w:spacing w:line="480" w:lineRule="atLeast"/>
              <w:ind w:firstLine="480" w:firstLineChars="200"/>
              <w:rPr>
                <w:rStyle w:val="6"/>
                <w:rFonts w:hint="eastAsia" w:ascii="宋体" w:hAnsi="宋体"/>
                <w:bCs/>
                <w:iCs/>
                <w:color w:val="000000" w:themeColor="text1"/>
                <w:sz w:val="24"/>
                <w:szCs w:val="22"/>
                <w:highlight w:val="none"/>
                <w:lang w:val="en-US" w:eastAsia="zh-CN"/>
                <w14:textFill>
                  <w14:solidFill>
                    <w14:schemeClr w14:val="tx1"/>
                  </w14:solidFill>
                </w14:textFill>
              </w:rPr>
            </w:pPr>
            <w:r>
              <w:rPr>
                <w:rStyle w:val="6"/>
                <w:rFonts w:hint="eastAsia" w:ascii="宋体" w:hAnsi="宋体"/>
                <w:bCs/>
                <w:iCs/>
                <w:color w:val="000000" w:themeColor="text1"/>
                <w:sz w:val="24"/>
                <w:szCs w:val="22"/>
                <w:highlight w:val="none"/>
                <w:lang w:val="en-US" w:eastAsia="zh-CN"/>
                <w14:textFill>
                  <w14:solidFill>
                    <w14:schemeClr w14:val="tx1"/>
                  </w14:solidFill>
                </w14:textFill>
              </w:rPr>
              <w:t>国内随着一致性评价，原料药制剂关联审评，拥有更高品质、更充分的质量研究、能提供技术文件等增值服务的原料药将逐渐成为下游客户的重要选择因素。</w:t>
            </w:r>
          </w:p>
          <w:p>
            <w:pPr>
              <w:spacing w:line="480" w:lineRule="atLeast"/>
              <w:ind w:firstLine="480" w:firstLineChars="200"/>
              <w:rPr>
                <w:rStyle w:val="6"/>
                <w:rFonts w:hint="eastAsia" w:ascii="宋体" w:hAnsi="宋体"/>
                <w:bCs/>
                <w:iCs/>
                <w:color w:val="000000" w:themeColor="text1"/>
                <w:sz w:val="24"/>
                <w:szCs w:val="22"/>
                <w:highlight w:val="none"/>
                <w:lang w:val="en-US" w:eastAsia="zh-CN"/>
                <w14:textFill>
                  <w14:solidFill>
                    <w14:schemeClr w14:val="tx1"/>
                  </w14:solidFill>
                </w14:textFill>
              </w:rPr>
            </w:pPr>
          </w:p>
          <w:p>
            <w:pPr>
              <w:numPr>
                <w:ilvl w:val="0"/>
                <w:numId w:val="0"/>
              </w:numPr>
              <w:spacing w:line="360" w:lineRule="auto"/>
              <w:jc w:val="left"/>
              <w:rPr>
                <w:rStyle w:val="6"/>
                <w:rFonts w:hint="eastAsia" w:ascii="宋体" w:hAnsi="宋体"/>
                <w:b/>
                <w:bCs w:val="0"/>
                <w:color w:val="000000" w:themeColor="text1"/>
                <w:sz w:val="24"/>
                <w:szCs w:val="22"/>
                <w:lang w:val="en-US" w:eastAsia="zh-CN"/>
                <w14:textFill>
                  <w14:solidFill>
                    <w14:schemeClr w14:val="tx1"/>
                  </w14:solidFill>
                </w14:textFill>
              </w:rPr>
            </w:pPr>
            <w:r>
              <w:rPr>
                <w:rStyle w:val="6"/>
                <w:rFonts w:hint="eastAsia" w:ascii="宋体" w:hAnsi="宋体"/>
                <w:b/>
                <w:bCs/>
                <w:sz w:val="24"/>
                <w:szCs w:val="22"/>
                <w:lang w:val="en-US" w:eastAsia="zh-CN"/>
              </w:rPr>
              <w:t>3、</w:t>
            </w:r>
            <w:r>
              <w:rPr>
                <w:rStyle w:val="6"/>
                <w:rFonts w:hint="eastAsia" w:ascii="宋体" w:hAnsi="宋体"/>
                <w:b/>
                <w:bCs w:val="0"/>
                <w:color w:val="000000" w:themeColor="text1"/>
                <w:sz w:val="24"/>
                <w:szCs w:val="22"/>
                <w:lang w:val="en-US" w:eastAsia="zh-CN"/>
                <w14:textFill>
                  <w14:solidFill>
                    <w14:schemeClr w14:val="tx1"/>
                  </w14:solidFill>
                </w14:textFill>
              </w:rPr>
              <w:t>公司中长期战略定位</w:t>
            </w:r>
          </w:p>
          <w:p>
            <w:pPr>
              <w:spacing w:line="480" w:lineRule="atLeast"/>
              <w:ind w:firstLine="480" w:firstLineChars="200"/>
              <w:rPr>
                <w:rStyle w:val="6"/>
                <w:rFonts w:hint="eastAsia" w:ascii="宋体" w:hAnsi="宋体"/>
                <w:bCs/>
                <w:iCs/>
                <w:color w:val="000000" w:themeColor="text1"/>
                <w:sz w:val="24"/>
                <w:szCs w:val="22"/>
                <w14:textFill>
                  <w14:solidFill>
                    <w14:schemeClr w14:val="tx1"/>
                  </w14:solidFill>
                </w14:textFill>
              </w:rPr>
            </w:pPr>
            <w:r>
              <w:rPr>
                <w:rStyle w:val="6"/>
                <w:rFonts w:hint="eastAsia" w:ascii="宋体" w:hAnsi="宋体"/>
                <w:bCs/>
                <w:iCs/>
                <w:color w:val="000000" w:themeColor="text1"/>
                <w:sz w:val="24"/>
                <w:szCs w:val="22"/>
                <w14:textFill>
                  <w14:solidFill>
                    <w14:schemeClr w14:val="tx1"/>
                  </w14:solidFill>
                </w14:textFill>
              </w:rPr>
              <w:t>公司</w:t>
            </w:r>
            <w:r>
              <w:rPr>
                <w:rStyle w:val="6"/>
                <w:rFonts w:hint="eastAsia" w:ascii="宋体" w:hAnsi="宋体"/>
                <w:bCs/>
                <w:iCs/>
                <w:color w:val="000000" w:themeColor="text1"/>
                <w:sz w:val="24"/>
                <w:szCs w:val="22"/>
                <w:lang w:eastAsia="zh-CN"/>
                <w14:textFill>
                  <w14:solidFill>
                    <w14:schemeClr w14:val="tx1"/>
                  </w14:solidFill>
                </w14:textFill>
              </w:rPr>
              <w:t>将长期</w:t>
            </w:r>
            <w:r>
              <w:rPr>
                <w:rStyle w:val="6"/>
                <w:rFonts w:hint="eastAsia" w:ascii="宋体" w:hAnsi="宋体"/>
                <w:bCs/>
                <w:iCs/>
                <w:color w:val="000000" w:themeColor="text1"/>
                <w:sz w:val="24"/>
                <w:szCs w:val="22"/>
                <w14:textFill>
                  <w14:solidFill>
                    <w14:schemeClr w14:val="tx1"/>
                  </w14:solidFill>
                </w14:textFill>
              </w:rPr>
              <w:t>聚焦甾体激素领域，</w:t>
            </w:r>
            <w:r>
              <w:rPr>
                <w:rStyle w:val="6"/>
                <w:rFonts w:hint="eastAsia" w:ascii="宋体" w:hAnsi="宋体"/>
                <w:bCs/>
                <w:iCs/>
                <w:color w:val="000000" w:themeColor="text1"/>
                <w:sz w:val="24"/>
                <w:szCs w:val="22"/>
                <w:lang w:eastAsia="zh-CN"/>
                <w14:textFill>
                  <w14:solidFill>
                    <w14:schemeClr w14:val="tx1"/>
                  </w14:solidFill>
                </w14:textFill>
              </w:rPr>
              <w:t>做全、做精激素产业链、不断丰富原料药及制剂产品结构，专注于综合能力提升</w:t>
            </w:r>
            <w:r>
              <w:rPr>
                <w:rStyle w:val="6"/>
                <w:rFonts w:hint="eastAsia" w:ascii="宋体" w:hAnsi="宋体"/>
                <w:bCs/>
                <w:iCs/>
                <w:color w:val="000000" w:themeColor="text1"/>
                <w:sz w:val="24"/>
                <w:szCs w:val="22"/>
                <w14:textFill>
                  <w14:solidFill>
                    <w14:schemeClr w14:val="tx1"/>
                  </w14:solidFill>
                </w14:textFill>
              </w:rPr>
              <w:t>。</w:t>
            </w:r>
          </w:p>
          <w:p>
            <w:pPr>
              <w:numPr>
                <w:ilvl w:val="0"/>
                <w:numId w:val="0"/>
              </w:numPr>
              <w:spacing w:line="360" w:lineRule="auto"/>
              <w:ind w:firstLine="480" w:firstLineChars="200"/>
              <w:jc w:val="left"/>
              <w:rPr>
                <w:rStyle w:val="6"/>
                <w:rFonts w:hint="eastAsia" w:ascii="宋体" w:hAnsi="宋体" w:eastAsia="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原料药是公司的根基和优势之一，甾体激素原料药具有高致敏性，对制造工艺、生产环境要求高；工艺过程复杂，兼具发酵和合成工艺。公司将继续做精做全甾体类高端原料药产品，努力成为全球甾体激素的优秀API供应商。</w:t>
            </w:r>
          </w:p>
          <w:p>
            <w:pPr>
              <w:spacing w:line="360" w:lineRule="auto"/>
              <w:ind w:firstLine="480" w:firstLineChars="200"/>
              <w:jc w:val="left"/>
              <w:rPr>
                <w:rStyle w:val="6"/>
                <w:rFonts w:hint="eastAsia" w:ascii="宋体" w:hAnsi="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制剂产品具有多品种小批量，技术门槛高，激素类专线生产等特点，通过近几年技术积累和沉淀，公司力争在</w:t>
            </w:r>
            <w:r>
              <w:rPr>
                <w:rStyle w:val="6"/>
                <w:rFonts w:hint="eastAsia" w:ascii="宋体" w:hAnsi="宋体"/>
                <w:bCs/>
                <w:sz w:val="24"/>
                <w:szCs w:val="22"/>
              </w:rPr>
              <w:t>具有较高技术壁垒的复杂制剂领域，比如吸入制剂、半固体制剂、无菌混悬</w:t>
            </w:r>
            <w:r>
              <w:rPr>
                <w:rStyle w:val="6"/>
                <w:rFonts w:hint="eastAsia" w:ascii="宋体" w:hAnsi="宋体"/>
                <w:b w:val="0"/>
                <w:bCs/>
                <w:color w:val="000000" w:themeColor="text1"/>
                <w:sz w:val="24"/>
                <w:szCs w:val="22"/>
                <w:lang w:val="en-US" w:eastAsia="zh-CN"/>
                <w14:textFill>
                  <w14:solidFill>
                    <w14:schemeClr w14:val="tx1"/>
                  </w14:solidFill>
                </w14:textFill>
              </w:rPr>
              <w:t>等复杂制剂领域实现研发跨越。</w:t>
            </w:r>
          </w:p>
          <w:p>
            <w:pPr>
              <w:spacing w:line="360" w:lineRule="auto"/>
              <w:ind w:firstLine="480" w:firstLineChars="200"/>
              <w:jc w:val="left"/>
              <w:rPr>
                <w:rStyle w:val="6"/>
                <w:rFonts w:hint="eastAsia" w:ascii="宋体" w:hAnsi="宋体"/>
                <w:b w:val="0"/>
                <w:bCs/>
                <w:color w:val="000000" w:themeColor="text1"/>
                <w:sz w:val="24"/>
                <w:szCs w:val="22"/>
                <w:lang w:val="en-US" w:eastAsia="zh-CN"/>
                <w14:textFill>
                  <w14:solidFill>
                    <w14:schemeClr w14:val="tx1"/>
                  </w14:solidFill>
                </w14:textFill>
              </w:rPr>
            </w:pPr>
          </w:p>
          <w:p>
            <w:pPr>
              <w:numPr>
                <w:ilvl w:val="0"/>
                <w:numId w:val="0"/>
              </w:numPr>
              <w:spacing w:line="360" w:lineRule="auto"/>
              <w:jc w:val="left"/>
              <w:rPr>
                <w:rStyle w:val="6"/>
                <w:rFonts w:hint="eastAsia" w:ascii="宋体" w:hAnsi="宋体"/>
                <w:b/>
                <w:bCs w:val="0"/>
                <w:color w:val="000000" w:themeColor="text1"/>
                <w:sz w:val="24"/>
                <w:szCs w:val="22"/>
                <w:lang w:val="en-US" w:eastAsia="zh-CN"/>
                <w14:textFill>
                  <w14:solidFill>
                    <w14:schemeClr w14:val="tx1"/>
                  </w14:solidFill>
                </w14:textFill>
              </w:rPr>
            </w:pPr>
            <w:r>
              <w:rPr>
                <w:rStyle w:val="6"/>
                <w:rFonts w:hint="eastAsia" w:ascii="宋体" w:hAnsi="宋体"/>
                <w:b/>
                <w:bCs w:val="0"/>
                <w:color w:val="000000" w:themeColor="text1"/>
                <w:sz w:val="24"/>
                <w:szCs w:val="22"/>
                <w:lang w:val="en-US" w:eastAsia="zh-CN"/>
                <w14:textFill>
                  <w14:solidFill>
                    <w14:schemeClr w14:val="tx1"/>
                  </w14:solidFill>
                </w14:textFill>
              </w:rPr>
              <w:t>4、原料药新厂区情况介绍</w:t>
            </w:r>
          </w:p>
          <w:p>
            <w:pPr>
              <w:numPr>
                <w:ilvl w:val="0"/>
                <w:numId w:val="0"/>
              </w:numPr>
              <w:spacing w:line="360" w:lineRule="auto"/>
              <w:ind w:firstLine="480" w:firstLineChars="200"/>
              <w:jc w:val="left"/>
              <w:rPr>
                <w:rStyle w:val="6"/>
                <w:rFonts w:hint="eastAsia" w:ascii="宋体" w:hAnsi="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公司原料药新厂区围绕皮质激素类、孕激素类、性激素类、非激素类的几大品类原料药品种来做。仙琚原料药朝着小、精、特、专方向发展。</w:t>
            </w:r>
          </w:p>
          <w:p>
            <w:pPr>
              <w:spacing w:line="360" w:lineRule="auto"/>
              <w:ind w:firstLine="480" w:firstLineChars="200"/>
              <w:jc w:val="left"/>
              <w:rPr>
                <w:rStyle w:val="6"/>
                <w:rFonts w:hint="eastAsia" w:ascii="宋体" w:hAnsi="宋体"/>
                <w:b w:val="0"/>
                <w:bCs/>
                <w:color w:val="000000" w:themeColor="text1"/>
                <w:sz w:val="24"/>
                <w:szCs w:val="22"/>
                <w:highlight w:val="none"/>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2020年新完成30个原料药品种从老厂区搬到新厂区。</w:t>
            </w:r>
            <w:bookmarkStart w:id="0" w:name="_GoBack"/>
            <w:bookmarkEnd w:id="0"/>
            <w:r>
              <w:rPr>
                <w:rStyle w:val="6"/>
                <w:rFonts w:hint="eastAsia" w:ascii="宋体" w:hAnsi="宋体"/>
                <w:b w:val="0"/>
                <w:bCs/>
                <w:color w:val="000000" w:themeColor="text1"/>
                <w:sz w:val="24"/>
                <w:szCs w:val="22"/>
                <w:lang w:val="en-US" w:eastAsia="zh-CN"/>
                <w14:textFill>
                  <w14:solidFill>
                    <w14:schemeClr w14:val="tx1"/>
                  </w14:solidFill>
                </w14:textFill>
              </w:rPr>
              <w:t>2021年的核心任务是熟悉新工</w:t>
            </w:r>
            <w:r>
              <w:rPr>
                <w:rStyle w:val="6"/>
                <w:rFonts w:hint="eastAsia" w:ascii="宋体" w:hAnsi="宋体"/>
                <w:b w:val="0"/>
                <w:bCs/>
                <w:color w:val="000000" w:themeColor="text1"/>
                <w:sz w:val="24"/>
                <w:szCs w:val="22"/>
                <w:highlight w:val="none"/>
                <w:lang w:val="en-US" w:eastAsia="zh-CN"/>
                <w14:textFill>
                  <w14:solidFill>
                    <w14:schemeClr w14:val="tx1"/>
                  </w14:solidFill>
                </w14:textFill>
              </w:rPr>
              <w:t>艺、新流程，优化提升效率，实现连续稳定的生产，扎实做好FDA等国际的认证准备工作，随时准备迎接各类资质认证和客户审计。</w:t>
            </w:r>
          </w:p>
          <w:p>
            <w:pPr>
              <w:spacing w:line="360" w:lineRule="auto"/>
              <w:ind w:firstLine="480" w:firstLineChars="200"/>
              <w:jc w:val="left"/>
              <w:rPr>
                <w:rStyle w:val="6"/>
                <w:rFonts w:hint="eastAsia" w:ascii="宋体" w:hAnsi="宋体"/>
                <w:b w:val="0"/>
                <w:bCs/>
                <w:color w:val="000000" w:themeColor="text1"/>
                <w:sz w:val="24"/>
                <w:szCs w:val="22"/>
                <w:highlight w:val="none"/>
                <w:lang w:val="en-US" w:eastAsia="zh-CN"/>
                <w14:textFill>
                  <w14:solidFill>
                    <w14:schemeClr w14:val="tx1"/>
                  </w14:solidFill>
                </w14:textFill>
              </w:rPr>
            </w:pPr>
          </w:p>
          <w:p>
            <w:pPr>
              <w:pStyle w:val="17"/>
              <w:keepNext w:val="0"/>
              <w:keepLines w:val="0"/>
              <w:widowControl w:val="0"/>
              <w:numPr>
                <w:ilvl w:val="0"/>
                <w:numId w:val="0"/>
              </w:numPr>
              <w:suppressLineNumbers w:val="0"/>
              <w:autoSpaceDE w:val="0"/>
              <w:autoSpaceDN w:val="0"/>
              <w:adjustRightInd w:val="0"/>
              <w:spacing w:before="0" w:beforeAutospacing="0" w:after="0" w:afterAutospacing="0" w:line="360" w:lineRule="auto"/>
              <w:ind w:left="0" w:right="0"/>
              <w:rPr>
                <w:rFonts w:hint="default"/>
                <w:color w:val="000000" w:themeColor="text1"/>
                <w:kern w:val="2"/>
                <w:highlight w:val="none"/>
                <w:lang w:val="en-US" w:eastAsia="zh-CN"/>
                <w14:textFill>
                  <w14:solidFill>
                    <w14:schemeClr w14:val="tx1"/>
                  </w14:solidFill>
                </w14:textFill>
              </w:rPr>
            </w:pPr>
            <w:r>
              <w:rPr>
                <w:rStyle w:val="6"/>
                <w:rFonts w:hint="eastAsia" w:hAnsi="宋体" w:cs="Times New Roman"/>
                <w:b/>
                <w:bCs w:val="0"/>
                <w:color w:val="000000" w:themeColor="text1"/>
                <w:kern w:val="2"/>
                <w:sz w:val="24"/>
                <w:szCs w:val="22"/>
                <w:lang w:val="en-US" w:eastAsia="zh-CN" w:bidi="ar-SA"/>
                <w14:textFill>
                  <w14:solidFill>
                    <w14:schemeClr w14:val="tx1"/>
                  </w14:solidFill>
                </w14:textFill>
              </w:rPr>
              <w:t>5、</w:t>
            </w:r>
            <w:r>
              <w:rPr>
                <w:rStyle w:val="6"/>
                <w:rFonts w:hint="eastAsia" w:ascii="宋体" w:hAnsi="宋体" w:eastAsia="宋体" w:cs="Times New Roman"/>
                <w:b/>
                <w:bCs w:val="0"/>
                <w:color w:val="000000" w:themeColor="text1"/>
                <w:kern w:val="2"/>
                <w:sz w:val="24"/>
                <w:szCs w:val="22"/>
                <w:lang w:val="en-US" w:eastAsia="zh-CN" w:bidi="ar-SA"/>
                <w14:textFill>
                  <w14:solidFill>
                    <w14:schemeClr w14:val="tx1"/>
                  </w14:solidFill>
                </w14:textFill>
              </w:rPr>
              <w:t>Newchem公司</w:t>
            </w:r>
            <w:r>
              <w:rPr>
                <w:rStyle w:val="6"/>
                <w:rFonts w:hint="eastAsia" w:hAnsi="宋体" w:cs="Times New Roman"/>
                <w:b/>
                <w:bCs w:val="0"/>
                <w:color w:val="000000" w:themeColor="text1"/>
                <w:kern w:val="2"/>
                <w:sz w:val="24"/>
                <w:szCs w:val="22"/>
                <w:lang w:val="en-US" w:eastAsia="zh-CN" w:bidi="ar-SA"/>
                <w14:textFill>
                  <w14:solidFill>
                    <w14:schemeClr w14:val="tx1"/>
                  </w14:solidFill>
                </w14:textFill>
              </w:rPr>
              <w:t>产品情况以及</w:t>
            </w:r>
            <w:r>
              <w:rPr>
                <w:rStyle w:val="6"/>
                <w:rFonts w:hint="eastAsia" w:ascii="宋体" w:hAnsi="宋体" w:eastAsia="宋体" w:cs="Times New Roman"/>
                <w:b/>
                <w:bCs w:val="0"/>
                <w:color w:val="000000" w:themeColor="text1"/>
                <w:kern w:val="2"/>
                <w:sz w:val="24"/>
                <w:szCs w:val="22"/>
                <w:lang w:val="en-US" w:eastAsia="zh-CN" w:bidi="ar-SA"/>
                <w14:textFill>
                  <w14:solidFill>
                    <w14:schemeClr w14:val="tx1"/>
                  </w14:solidFill>
                </w14:textFill>
              </w:rPr>
              <w:t>生产经营情况</w:t>
            </w:r>
          </w:p>
          <w:p>
            <w:pPr>
              <w:pStyle w:val="17"/>
              <w:keepNext w:val="0"/>
              <w:keepLines w:val="0"/>
              <w:suppressLineNumbers w:val="0"/>
              <w:spacing w:before="0" w:beforeAutospacing="0" w:after="0" w:afterAutospacing="0" w:line="360" w:lineRule="auto"/>
              <w:ind w:left="0" w:right="0" w:firstLine="480" w:firstLineChars="200"/>
              <w:rPr>
                <w:rFonts w:hint="eastAsia"/>
                <w:kern w:val="2"/>
              </w:rPr>
            </w:pPr>
            <w:r>
              <w:rPr>
                <w:rFonts w:hint="eastAsia"/>
                <w:kern w:val="2"/>
              </w:rPr>
              <w:t>意大利目前</w:t>
            </w:r>
            <w:r>
              <w:rPr>
                <w:rFonts w:hint="eastAsia"/>
                <w:kern w:val="2"/>
                <w:lang w:eastAsia="zh-CN"/>
              </w:rPr>
              <w:t>经营正常</w:t>
            </w:r>
            <w:r>
              <w:rPr>
                <w:rFonts w:hint="eastAsia"/>
                <w:kern w:val="2"/>
              </w:rPr>
              <w:t>。</w:t>
            </w:r>
            <w:r>
              <w:rPr>
                <w:rFonts w:hint="eastAsia" w:asciiTheme="majorEastAsia" w:hAnsiTheme="majorEastAsia" w:eastAsiaTheme="majorEastAsia" w:cstheme="majorEastAsia"/>
                <w:b w:val="0"/>
                <w:bCs/>
                <w:kern w:val="2"/>
                <w:sz w:val="24"/>
                <w:szCs w:val="24"/>
                <w:lang w:val="en-US" w:eastAsia="zh-CN" w:bidi="ar-SA"/>
              </w:rPr>
              <w:t>Newchem公司在有序防控疫情的基础上，保持稳定生产。总体来说，预计Newchem公司的业务逐步向好。</w:t>
            </w:r>
          </w:p>
          <w:p>
            <w:pPr>
              <w:pStyle w:val="17"/>
              <w:keepNext w:val="0"/>
              <w:keepLines w:val="0"/>
              <w:suppressLineNumbers w:val="0"/>
              <w:spacing w:before="0" w:beforeAutospacing="0" w:after="0" w:afterAutospacing="0" w:line="360" w:lineRule="auto"/>
              <w:ind w:left="0" w:right="0" w:firstLine="480" w:firstLineChars="200"/>
              <w:rPr>
                <w:rFonts w:hint="eastAsia"/>
                <w:kern w:val="2"/>
              </w:rPr>
            </w:pPr>
            <w:r>
              <w:rPr>
                <w:rFonts w:hint="eastAsia" w:asciiTheme="majorEastAsia" w:hAnsiTheme="majorEastAsia" w:eastAsiaTheme="majorEastAsia" w:cstheme="majorEastAsia"/>
                <w:b w:val="0"/>
                <w:bCs/>
                <w:kern w:val="2"/>
                <w:sz w:val="24"/>
                <w:szCs w:val="24"/>
                <w:lang w:val="en-US" w:eastAsia="zh-CN" w:bidi="ar-SA"/>
              </w:rPr>
              <w:t>Newchem公司近两年对生产、销售、研发</w:t>
            </w:r>
            <w:r>
              <w:rPr>
                <w:rFonts w:hint="eastAsia"/>
                <w:kern w:val="2"/>
              </w:rPr>
              <w:t>、QA、QC</w:t>
            </w:r>
            <w:r>
              <w:rPr>
                <w:rFonts w:hint="eastAsia"/>
                <w:kern w:val="2"/>
                <w:lang w:eastAsia="zh-CN"/>
              </w:rPr>
              <w:t>和</w:t>
            </w:r>
            <w:r>
              <w:rPr>
                <w:rFonts w:hint="eastAsia"/>
                <w:kern w:val="2"/>
              </w:rPr>
              <w:t>工程技术人员</w:t>
            </w:r>
            <w:r>
              <w:rPr>
                <w:rFonts w:hint="eastAsia" w:asciiTheme="majorEastAsia" w:hAnsiTheme="majorEastAsia" w:eastAsiaTheme="majorEastAsia" w:cstheme="majorEastAsia"/>
                <w:b w:val="0"/>
                <w:bCs/>
                <w:kern w:val="2"/>
                <w:sz w:val="24"/>
                <w:szCs w:val="24"/>
                <w:lang w:val="en-US" w:eastAsia="zh-CN" w:bidi="ar-SA"/>
              </w:rPr>
              <w:t>进行了储备，为</w:t>
            </w:r>
            <w:r>
              <w:rPr>
                <w:rFonts w:hint="eastAsia" w:eastAsiaTheme="majorEastAsia"/>
                <w:kern w:val="2"/>
                <w:lang w:eastAsia="zh-CN"/>
              </w:rPr>
              <w:t>中长期</w:t>
            </w:r>
            <w:r>
              <w:rPr>
                <w:rFonts w:hint="eastAsia"/>
                <w:kern w:val="2"/>
                <w:lang w:eastAsia="zh-CN"/>
              </w:rPr>
              <w:t>业务发展</w:t>
            </w:r>
            <w:r>
              <w:rPr>
                <w:rFonts w:hint="eastAsia"/>
                <w:kern w:val="2"/>
              </w:rPr>
              <w:t>奠定基础。</w:t>
            </w:r>
          </w:p>
          <w:p>
            <w:pPr>
              <w:spacing w:line="360" w:lineRule="auto"/>
              <w:ind w:firstLine="480" w:firstLineChars="200"/>
              <w:jc w:val="left"/>
              <w:rPr>
                <w:rStyle w:val="6"/>
                <w:rFonts w:hint="default" w:ascii="宋体" w:hAnsi="宋体"/>
                <w:b w:val="0"/>
                <w:bCs/>
                <w:color w:val="000000" w:themeColor="text1"/>
                <w:sz w:val="24"/>
                <w:szCs w:val="22"/>
                <w:highlight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34"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sz w:val="24"/>
              </w:rPr>
            </w:pPr>
            <w:r>
              <w:rPr>
                <w:rStyle w:val="6"/>
                <w:rFonts w:ascii="宋体" w:hAnsi="宋体"/>
                <w:b/>
                <w:bCs/>
                <w:iCs/>
                <w:color w:val="000000"/>
                <w:sz w:val="24"/>
              </w:rPr>
              <w:t>附件清单</w:t>
            </w:r>
          </w:p>
          <w:p>
            <w:pPr>
              <w:spacing w:line="480" w:lineRule="atLeast"/>
              <w:rPr>
                <w:rStyle w:val="6"/>
                <w:rFonts w:ascii="宋体" w:hAnsi="宋体"/>
                <w:b/>
                <w:bCs/>
                <w:iCs/>
                <w:color w:val="000000"/>
                <w:sz w:val="24"/>
              </w:rPr>
            </w:pPr>
            <w:r>
              <w:rPr>
                <w:rStyle w:val="6"/>
                <w:rFonts w:ascii="宋体" w:hAnsi="宋体"/>
                <w:b/>
                <w:bCs/>
                <w:iCs/>
                <w:color w:val="000000"/>
                <w:sz w:val="24"/>
              </w:rPr>
              <w:t>（如有）</w:t>
            </w:r>
          </w:p>
        </w:tc>
        <w:tc>
          <w:tcPr>
            <w:tcW w:w="7118"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34"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sz w:val="24"/>
              </w:rPr>
            </w:pPr>
            <w:r>
              <w:rPr>
                <w:rStyle w:val="6"/>
                <w:rFonts w:ascii="宋体" w:hAnsi="宋体"/>
                <w:b/>
                <w:bCs/>
                <w:iCs/>
                <w:color w:val="000000"/>
                <w:sz w:val="24"/>
              </w:rPr>
              <w:t>日期</w:t>
            </w:r>
          </w:p>
        </w:tc>
        <w:tc>
          <w:tcPr>
            <w:tcW w:w="7118"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t>20</w:t>
            </w:r>
            <w:r>
              <w:rPr>
                <w:rStyle w:val="6"/>
                <w:rFonts w:hint="eastAsia" w:ascii="宋体" w:hAnsi="宋体"/>
                <w:bCs/>
                <w:iCs/>
                <w:color w:val="000000"/>
                <w:sz w:val="24"/>
              </w:rPr>
              <w:t>2</w:t>
            </w:r>
            <w:r>
              <w:rPr>
                <w:rStyle w:val="6"/>
                <w:rFonts w:hint="eastAsia" w:ascii="宋体" w:hAnsi="宋体"/>
                <w:bCs/>
                <w:iCs/>
                <w:color w:val="000000"/>
                <w:sz w:val="24"/>
                <w:lang w:val="en-US" w:eastAsia="zh-CN"/>
              </w:rPr>
              <w:t>1</w:t>
            </w:r>
            <w:r>
              <w:rPr>
                <w:rStyle w:val="6"/>
                <w:rFonts w:ascii="宋体" w:hAnsi="宋体"/>
                <w:bCs/>
                <w:iCs/>
                <w:color w:val="000000"/>
                <w:sz w:val="24"/>
              </w:rPr>
              <w:t>年</w:t>
            </w:r>
            <w:r>
              <w:rPr>
                <w:rStyle w:val="6"/>
                <w:rFonts w:hint="eastAsia" w:ascii="宋体" w:hAnsi="宋体"/>
                <w:bCs/>
                <w:iCs/>
                <w:color w:val="000000"/>
                <w:sz w:val="24"/>
                <w:lang w:val="en-US" w:eastAsia="zh-CN"/>
              </w:rPr>
              <w:t>6</w:t>
            </w:r>
            <w:r>
              <w:rPr>
                <w:rStyle w:val="6"/>
                <w:rFonts w:ascii="宋体" w:hAnsi="宋体"/>
                <w:bCs/>
                <w:iCs/>
                <w:color w:val="000000"/>
                <w:sz w:val="24"/>
              </w:rPr>
              <w:t>月</w:t>
            </w:r>
            <w:r>
              <w:rPr>
                <w:rStyle w:val="6"/>
                <w:rFonts w:hint="eastAsia" w:ascii="宋体" w:hAnsi="宋体"/>
                <w:bCs/>
                <w:iCs/>
                <w:color w:val="000000"/>
                <w:sz w:val="24"/>
                <w:lang w:val="en-US" w:eastAsia="zh-CN"/>
              </w:rPr>
              <w:t>8</w:t>
            </w:r>
            <w:r>
              <w:rPr>
                <w:rStyle w:val="6"/>
                <w:rFonts w:ascii="宋体" w:hAnsi="宋体"/>
                <w:bCs/>
                <w:iCs/>
                <w:color w:val="000000"/>
                <w:sz w:val="24"/>
              </w:rPr>
              <w:t>日</w:t>
            </w:r>
          </w:p>
        </w:tc>
      </w:tr>
    </w:tbl>
    <w:p>
      <w:pPr>
        <w:spacing w:line="360" w:lineRule="auto"/>
        <w:ind w:firstLine="360"/>
        <w:jc w:val="left"/>
        <w:rPr>
          <w:rFonts w:asciiTheme="minorEastAsia" w:hAnsiTheme="minorEastAsia" w:eastAsiaTheme="minor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1E"/>
    <w:rsid w:val="000D6523"/>
    <w:rsid w:val="00103205"/>
    <w:rsid w:val="001306A4"/>
    <w:rsid w:val="00130846"/>
    <w:rsid w:val="00177DD8"/>
    <w:rsid w:val="001B0A9F"/>
    <w:rsid w:val="0022211E"/>
    <w:rsid w:val="00222F19"/>
    <w:rsid w:val="002503BF"/>
    <w:rsid w:val="00297DCB"/>
    <w:rsid w:val="00340570"/>
    <w:rsid w:val="00377966"/>
    <w:rsid w:val="00387786"/>
    <w:rsid w:val="003C2CB7"/>
    <w:rsid w:val="004678F9"/>
    <w:rsid w:val="0047743C"/>
    <w:rsid w:val="004C3654"/>
    <w:rsid w:val="00500DAB"/>
    <w:rsid w:val="00525F7E"/>
    <w:rsid w:val="006D7679"/>
    <w:rsid w:val="00763C2E"/>
    <w:rsid w:val="0076775C"/>
    <w:rsid w:val="007B0E42"/>
    <w:rsid w:val="007D35F5"/>
    <w:rsid w:val="00874952"/>
    <w:rsid w:val="00900768"/>
    <w:rsid w:val="009152F2"/>
    <w:rsid w:val="009444EE"/>
    <w:rsid w:val="00977D4C"/>
    <w:rsid w:val="009816F4"/>
    <w:rsid w:val="00A128E7"/>
    <w:rsid w:val="00A41C80"/>
    <w:rsid w:val="00A5095D"/>
    <w:rsid w:val="00A5097D"/>
    <w:rsid w:val="00A903F5"/>
    <w:rsid w:val="00A9296A"/>
    <w:rsid w:val="00AD38E6"/>
    <w:rsid w:val="00B077AE"/>
    <w:rsid w:val="00B408F7"/>
    <w:rsid w:val="00B70C7A"/>
    <w:rsid w:val="00B93618"/>
    <w:rsid w:val="00BC7DAA"/>
    <w:rsid w:val="00BF0534"/>
    <w:rsid w:val="00C80D76"/>
    <w:rsid w:val="00CA551C"/>
    <w:rsid w:val="00E04CBA"/>
    <w:rsid w:val="00E3536B"/>
    <w:rsid w:val="00E5244D"/>
    <w:rsid w:val="00E55D97"/>
    <w:rsid w:val="00EB0518"/>
    <w:rsid w:val="00EB5DDB"/>
    <w:rsid w:val="00EE25F4"/>
    <w:rsid w:val="00F45868"/>
    <w:rsid w:val="00F752A5"/>
    <w:rsid w:val="00F93DC3"/>
    <w:rsid w:val="00F940F1"/>
    <w:rsid w:val="00FA1297"/>
    <w:rsid w:val="00FA662F"/>
    <w:rsid w:val="01D12014"/>
    <w:rsid w:val="052C4A8A"/>
    <w:rsid w:val="075605A6"/>
    <w:rsid w:val="077D4822"/>
    <w:rsid w:val="07AD72A1"/>
    <w:rsid w:val="07DB5D29"/>
    <w:rsid w:val="081B0D77"/>
    <w:rsid w:val="0A6F58F6"/>
    <w:rsid w:val="0AF72E65"/>
    <w:rsid w:val="0C532AAB"/>
    <w:rsid w:val="0C7940D4"/>
    <w:rsid w:val="10117D93"/>
    <w:rsid w:val="10657407"/>
    <w:rsid w:val="115B20C9"/>
    <w:rsid w:val="1183681F"/>
    <w:rsid w:val="11E959F5"/>
    <w:rsid w:val="12021855"/>
    <w:rsid w:val="124B7A44"/>
    <w:rsid w:val="12F96866"/>
    <w:rsid w:val="140C6DF4"/>
    <w:rsid w:val="14421C66"/>
    <w:rsid w:val="147F5A64"/>
    <w:rsid w:val="15B34797"/>
    <w:rsid w:val="17B00803"/>
    <w:rsid w:val="18C32F71"/>
    <w:rsid w:val="19265CFB"/>
    <w:rsid w:val="1C5D4CAF"/>
    <w:rsid w:val="1D2B26B3"/>
    <w:rsid w:val="1EDE769F"/>
    <w:rsid w:val="20CD1E91"/>
    <w:rsid w:val="21564F9A"/>
    <w:rsid w:val="23C632A7"/>
    <w:rsid w:val="24406817"/>
    <w:rsid w:val="24581CCD"/>
    <w:rsid w:val="24781640"/>
    <w:rsid w:val="248A4BF7"/>
    <w:rsid w:val="24F31793"/>
    <w:rsid w:val="27301F85"/>
    <w:rsid w:val="273E5C1D"/>
    <w:rsid w:val="280638E4"/>
    <w:rsid w:val="2827041E"/>
    <w:rsid w:val="282D2C0A"/>
    <w:rsid w:val="289F5D81"/>
    <w:rsid w:val="2A103539"/>
    <w:rsid w:val="2A1D5190"/>
    <w:rsid w:val="2C87471B"/>
    <w:rsid w:val="2CDF16A1"/>
    <w:rsid w:val="2DA04F8C"/>
    <w:rsid w:val="2E5734CA"/>
    <w:rsid w:val="2F627A5E"/>
    <w:rsid w:val="30B7290D"/>
    <w:rsid w:val="30EA56D6"/>
    <w:rsid w:val="3209648F"/>
    <w:rsid w:val="326E164A"/>
    <w:rsid w:val="35053F06"/>
    <w:rsid w:val="38EE1109"/>
    <w:rsid w:val="3929438D"/>
    <w:rsid w:val="3AF864F7"/>
    <w:rsid w:val="3BA96FBE"/>
    <w:rsid w:val="3C963ABA"/>
    <w:rsid w:val="3CC354D7"/>
    <w:rsid w:val="3D5E64FC"/>
    <w:rsid w:val="3D6545D0"/>
    <w:rsid w:val="3DC81248"/>
    <w:rsid w:val="3F913CE2"/>
    <w:rsid w:val="422541A4"/>
    <w:rsid w:val="42292234"/>
    <w:rsid w:val="42AC415A"/>
    <w:rsid w:val="4540473C"/>
    <w:rsid w:val="46E771B2"/>
    <w:rsid w:val="473E1DA1"/>
    <w:rsid w:val="47C00E74"/>
    <w:rsid w:val="48166846"/>
    <w:rsid w:val="485E1656"/>
    <w:rsid w:val="4A63657D"/>
    <w:rsid w:val="4A806193"/>
    <w:rsid w:val="4ADB0EEB"/>
    <w:rsid w:val="4B824593"/>
    <w:rsid w:val="4C6E60C8"/>
    <w:rsid w:val="4CAD1A42"/>
    <w:rsid w:val="4D795DD7"/>
    <w:rsid w:val="503E7679"/>
    <w:rsid w:val="51E043F4"/>
    <w:rsid w:val="52A42F1D"/>
    <w:rsid w:val="553A50BF"/>
    <w:rsid w:val="55AB1453"/>
    <w:rsid w:val="562C7BD0"/>
    <w:rsid w:val="57A4125A"/>
    <w:rsid w:val="58DC4EC4"/>
    <w:rsid w:val="59AD2754"/>
    <w:rsid w:val="5A1C631A"/>
    <w:rsid w:val="5AA705F6"/>
    <w:rsid w:val="5B707FF8"/>
    <w:rsid w:val="5D0815E4"/>
    <w:rsid w:val="5D2C69B8"/>
    <w:rsid w:val="5F62039E"/>
    <w:rsid w:val="64B15EFA"/>
    <w:rsid w:val="652076EC"/>
    <w:rsid w:val="65765787"/>
    <w:rsid w:val="658658D8"/>
    <w:rsid w:val="65B75967"/>
    <w:rsid w:val="66B82C7C"/>
    <w:rsid w:val="66D4751C"/>
    <w:rsid w:val="689107FD"/>
    <w:rsid w:val="691B1209"/>
    <w:rsid w:val="69293B3A"/>
    <w:rsid w:val="6B9C475C"/>
    <w:rsid w:val="6C305B2F"/>
    <w:rsid w:val="6C6C6AE5"/>
    <w:rsid w:val="6CE33CC0"/>
    <w:rsid w:val="6DD877BE"/>
    <w:rsid w:val="6EFE0595"/>
    <w:rsid w:val="6F9672BB"/>
    <w:rsid w:val="705D3D32"/>
    <w:rsid w:val="7136186B"/>
    <w:rsid w:val="72D15AC6"/>
    <w:rsid w:val="740657A3"/>
    <w:rsid w:val="74267CE5"/>
    <w:rsid w:val="770C3160"/>
    <w:rsid w:val="778973E0"/>
    <w:rsid w:val="77BE5F17"/>
    <w:rsid w:val="7B674ACD"/>
    <w:rsid w:val="7BF006F4"/>
    <w:rsid w:val="7C1C60B7"/>
    <w:rsid w:val="7C8B3F24"/>
    <w:rsid w:val="7E9F1953"/>
    <w:rsid w:val="7F0123F2"/>
    <w:rsid w:val="7F6462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character" w:customStyle="1" w:styleId="8">
    <w:name w:val="UserStyle_0"/>
    <w:link w:val="9"/>
    <w:qFormat/>
    <w:uiPriority w:val="0"/>
    <w:rPr>
      <w:kern w:val="2"/>
      <w:sz w:val="18"/>
      <w:szCs w:val="18"/>
    </w:rPr>
  </w:style>
  <w:style w:type="paragraph" w:customStyle="1" w:styleId="9">
    <w:name w:val="Header"/>
    <w:basedOn w:val="1"/>
    <w:link w:val="8"/>
    <w:qFormat/>
    <w:uiPriority w:val="0"/>
    <w:pPr>
      <w:pBdr>
        <w:bottom w:val="single" w:color="000000" w:sz="6" w:space="1"/>
      </w:pBdr>
      <w:tabs>
        <w:tab w:val="center" w:pos="4153"/>
        <w:tab w:val="right" w:pos="8306"/>
      </w:tabs>
      <w:snapToGrid w:val="0"/>
      <w:jc w:val="center"/>
    </w:pPr>
    <w:rPr>
      <w:sz w:val="18"/>
      <w:szCs w:val="18"/>
    </w:rPr>
  </w:style>
  <w:style w:type="character" w:customStyle="1" w:styleId="10">
    <w:name w:val="UserStyle_1"/>
    <w:link w:val="11"/>
    <w:qFormat/>
    <w:uiPriority w:val="0"/>
    <w:rPr>
      <w:kern w:val="2"/>
      <w:sz w:val="18"/>
      <w:szCs w:val="18"/>
    </w:rPr>
  </w:style>
  <w:style w:type="paragraph" w:customStyle="1" w:styleId="11">
    <w:name w:val="Footer"/>
    <w:basedOn w:val="1"/>
    <w:link w:val="10"/>
    <w:qFormat/>
    <w:uiPriority w:val="0"/>
    <w:pPr>
      <w:tabs>
        <w:tab w:val="center" w:pos="4153"/>
        <w:tab w:val="right" w:pos="8306"/>
      </w:tabs>
      <w:snapToGrid w:val="0"/>
      <w:jc w:val="left"/>
    </w:pPr>
    <w:rPr>
      <w:sz w:val="18"/>
      <w:szCs w:val="18"/>
    </w:rPr>
  </w:style>
  <w:style w:type="paragraph" w:customStyle="1" w:styleId="12">
    <w:name w:val="Acetate"/>
    <w:basedOn w:val="1"/>
    <w:qFormat/>
    <w:uiPriority w:val="0"/>
    <w:rPr>
      <w:sz w:val="18"/>
      <w:szCs w:val="18"/>
    </w:rPr>
  </w:style>
  <w:style w:type="character" w:customStyle="1" w:styleId="13">
    <w:name w:val="页眉 Char"/>
    <w:basedOn w:val="5"/>
    <w:link w:val="3"/>
    <w:semiHidden/>
    <w:qFormat/>
    <w:uiPriority w:val="99"/>
    <w:rPr>
      <w:kern w:val="2"/>
      <w:sz w:val="18"/>
      <w:szCs w:val="18"/>
    </w:rPr>
  </w:style>
  <w:style w:type="character" w:customStyle="1" w:styleId="14">
    <w:name w:val="页脚 Char"/>
    <w:basedOn w:val="5"/>
    <w:link w:val="2"/>
    <w:semiHidden/>
    <w:qFormat/>
    <w:uiPriority w:val="99"/>
    <w:rPr>
      <w:kern w:val="2"/>
      <w:sz w:val="18"/>
      <w:szCs w:val="18"/>
    </w:rPr>
  </w:style>
  <w:style w:type="character" w:customStyle="1" w:styleId="15">
    <w:name w:val="font01"/>
    <w:basedOn w:val="5"/>
    <w:qFormat/>
    <w:uiPriority w:val="0"/>
    <w:rPr>
      <w:rFonts w:ascii="Arial" w:hAnsi="Arial" w:cs="Arial"/>
      <w:color w:val="000000"/>
      <w:sz w:val="20"/>
      <w:szCs w:val="20"/>
      <w:u w:val="none"/>
    </w:rPr>
  </w:style>
  <w:style w:type="character" w:customStyle="1" w:styleId="16">
    <w:name w:val="font11"/>
    <w:basedOn w:val="5"/>
    <w:qFormat/>
    <w:uiPriority w:val="0"/>
    <w:rPr>
      <w:rFonts w:hint="eastAsia" w:ascii="宋体" w:hAnsi="宋体" w:eastAsia="宋体" w:cs="宋体"/>
      <w:color w:val="000000"/>
      <w:sz w:val="20"/>
      <w:szCs w:val="20"/>
      <w:u w:val="none"/>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97D07-BBE7-4CBB-A932-9F6985BED9C7}">
  <ds:schemaRefs/>
</ds:datastoreItem>
</file>

<file path=docProps/app.xml><?xml version="1.0" encoding="utf-8"?>
<Properties xmlns="http://schemas.openxmlformats.org/officeDocument/2006/extended-properties" xmlns:vt="http://schemas.openxmlformats.org/officeDocument/2006/docPropsVTypes">
  <Template>Normal</Template>
  <Pages>4</Pages>
  <Words>432</Words>
  <Characters>2468</Characters>
  <Lines>20</Lines>
  <Paragraphs>5</Paragraphs>
  <TotalTime>4</TotalTime>
  <ScaleCrop>false</ScaleCrop>
  <LinksUpToDate>false</LinksUpToDate>
  <CharactersWithSpaces>2895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2020-05-14T09:13:00Z</dcterms:created>
  <dc:creator>XJ-CJ3-21</dc:creator>
  <cp:lastModifiedBy>wayne</cp:lastModifiedBy>
  <cp:lastPrinted>2021-05-17T04:09:00Z</cp:lastPrinted>
  <dcterms:modified xsi:type="dcterms:W3CDTF">2021-06-09T07:42:37Z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CC45B14194FE406DB0676FA962428727</vt:lpwstr>
  </property>
</Properties>
</file>