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6"/>
          <w:rFonts w:ascii="宋体" w:hAnsi="宋体"/>
          <w:bCs/>
          <w:iCs/>
          <w:color w:val="000000"/>
          <w:sz w:val="24"/>
        </w:rPr>
      </w:pPr>
      <w:r>
        <w:rPr>
          <w:rStyle w:val="6"/>
          <w:rFonts w:ascii="宋体" w:hAnsi="宋体"/>
          <w:bCs/>
          <w:iCs/>
          <w:color w:val="000000"/>
          <w:sz w:val="24"/>
        </w:rPr>
        <w:t>证券代码：002332                  证券简称：仙琚制药</w:t>
      </w:r>
    </w:p>
    <w:p>
      <w:pPr>
        <w:spacing w:before="156" w:after="156" w:line="400" w:lineRule="exact"/>
        <w:ind w:firstLine="720" w:firstLineChars="300"/>
        <w:rPr>
          <w:rStyle w:val="6"/>
          <w:rFonts w:ascii="宋体" w:hAnsi="宋体"/>
          <w:bCs/>
          <w:iCs/>
          <w:color w:val="000000"/>
          <w:sz w:val="24"/>
        </w:rPr>
      </w:pPr>
    </w:p>
    <w:p>
      <w:pPr>
        <w:spacing w:before="156" w:after="156" w:line="400" w:lineRule="exact"/>
        <w:jc w:val="center"/>
        <w:rPr>
          <w:rStyle w:val="6"/>
          <w:rFonts w:ascii="宋体" w:hAnsi="宋体"/>
          <w:b/>
          <w:bCs/>
          <w:iCs/>
          <w:color w:val="000000"/>
          <w:sz w:val="32"/>
          <w:szCs w:val="32"/>
        </w:rPr>
      </w:pPr>
      <w:r>
        <w:rPr>
          <w:rStyle w:val="6"/>
          <w:rFonts w:ascii="宋体" w:hAnsi="宋体"/>
          <w:b/>
          <w:bCs/>
          <w:iCs/>
          <w:color w:val="000000"/>
          <w:sz w:val="32"/>
          <w:szCs w:val="32"/>
        </w:rPr>
        <w:t>浙江仙琚制药股份有限公司投资者关系活动记录表</w:t>
      </w:r>
    </w:p>
    <w:p>
      <w:pPr>
        <w:spacing w:line="400" w:lineRule="exact"/>
        <w:rPr>
          <w:rStyle w:val="6"/>
          <w:rFonts w:hint="eastAsia" w:ascii="宋体" w:hAnsi="宋体" w:eastAsia="宋体"/>
          <w:bCs/>
          <w:iCs/>
          <w:color w:val="FF0000"/>
          <w:sz w:val="24"/>
          <w:lang w:val="en-US" w:eastAsia="zh-CN"/>
        </w:rPr>
      </w:pPr>
      <w:r>
        <w:rPr>
          <w:rStyle w:val="6"/>
          <w:rFonts w:ascii="宋体" w:hAnsi="宋体"/>
          <w:bCs/>
          <w:iCs/>
          <w:color w:val="000000"/>
          <w:sz w:val="24"/>
        </w:rPr>
        <w:t xml:space="preserve">                                                      编号：20</w:t>
      </w:r>
      <w:r>
        <w:rPr>
          <w:rStyle w:val="6"/>
          <w:rFonts w:hint="eastAsia" w:ascii="宋体" w:hAnsi="宋体"/>
          <w:bCs/>
          <w:iCs/>
          <w:color w:val="000000"/>
          <w:sz w:val="24"/>
          <w:lang w:val="en-US" w:eastAsia="zh-CN"/>
        </w:rPr>
        <w:t>21</w:t>
      </w:r>
      <w:r>
        <w:rPr>
          <w:rStyle w:val="6"/>
          <w:rFonts w:ascii="宋体" w:hAnsi="宋体"/>
          <w:bCs/>
          <w:iCs/>
          <w:color w:val="000000"/>
          <w:sz w:val="24"/>
        </w:rPr>
        <w:t>-0</w:t>
      </w:r>
      <w:r>
        <w:rPr>
          <w:rStyle w:val="6"/>
          <w:rFonts w:ascii="宋体" w:hAnsi="宋体"/>
          <w:bCs/>
          <w:iCs/>
          <w:sz w:val="24"/>
        </w:rPr>
        <w:t>0</w:t>
      </w:r>
      <w:r>
        <w:rPr>
          <w:rStyle w:val="6"/>
          <w:rFonts w:hint="eastAsia" w:ascii="宋体" w:hAnsi="宋体"/>
          <w:bCs/>
          <w:iCs/>
          <w:sz w:val="24"/>
          <w:lang w:val="en-US" w:eastAsia="zh-CN"/>
        </w:rPr>
        <w:t>2</w:t>
      </w:r>
    </w:p>
    <w:tbl>
      <w:tblPr>
        <w:tblStyle w:val="4"/>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6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投资者关系活动类别</w:t>
            </w:r>
          </w:p>
          <w:p>
            <w:pPr>
              <w:spacing w:line="480" w:lineRule="atLeast"/>
              <w:rPr>
                <w:rStyle w:val="6"/>
                <w:rFonts w:ascii="宋体" w:hAnsi="宋体"/>
                <w:b/>
                <w:bCs/>
                <w:iCs/>
                <w:color w:val="000000"/>
                <w:sz w:val="24"/>
              </w:rPr>
            </w:pP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sym w:font="Wingdings 2" w:char="0052"/>
            </w:r>
            <w:r>
              <w:rPr>
                <w:rStyle w:val="6"/>
                <w:rFonts w:ascii="宋体" w:hAnsi="宋体"/>
                <w:sz w:val="24"/>
              </w:rPr>
              <w:t xml:space="preserve">特定对象调研 </w:t>
            </w:r>
            <w:r>
              <w:rPr>
                <w:rStyle w:val="6"/>
                <w:rFonts w:hint="eastAsia" w:ascii="宋体" w:hAnsi="宋体"/>
                <w:sz w:val="24"/>
                <w:lang w:eastAsia="zh-CN"/>
              </w:rPr>
              <w:t>现场会议</w:t>
            </w:r>
            <w:r>
              <w:rPr>
                <w:rStyle w:val="6"/>
                <w:rFonts w:ascii="宋体" w:hAnsi="宋体"/>
                <w:sz w:val="24"/>
              </w:rPr>
              <w:t xml:space="preserve">      </w:t>
            </w:r>
            <w:r>
              <w:rPr>
                <w:rStyle w:val="6"/>
                <w:rFonts w:hint="eastAsia" w:ascii="宋体" w:hAnsi="宋体"/>
                <w:sz w:val="24"/>
                <w:lang w:val="en-US" w:eastAsia="zh-CN"/>
              </w:rPr>
              <w:t xml:space="preserve"> </w:t>
            </w:r>
            <w:r>
              <w:rPr>
                <w:rStyle w:val="6"/>
                <w:rFonts w:ascii="宋体" w:hAnsi="宋体"/>
                <w:sz w:val="24"/>
              </w:rPr>
              <w:t xml:space="preserve"> </w:t>
            </w:r>
            <w:r>
              <w:rPr>
                <w:rStyle w:val="6"/>
                <w:rFonts w:ascii="宋体" w:hAnsi="宋体"/>
                <w:bCs/>
                <w:iCs/>
                <w:color w:val="000000"/>
                <w:sz w:val="24"/>
              </w:rPr>
              <w:t>□</w:t>
            </w:r>
            <w:r>
              <w:rPr>
                <w:rStyle w:val="6"/>
                <w:rFonts w:ascii="宋体" w:hAnsi="宋体"/>
                <w:sz w:val="24"/>
              </w:rPr>
              <w:t>分析师会议</w:t>
            </w:r>
          </w:p>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媒体采访           </w:t>
            </w:r>
            <w:r>
              <w:rPr>
                <w:rStyle w:val="6"/>
                <w:rFonts w:hint="eastAsia" w:ascii="宋体" w:hAnsi="宋体"/>
                <w:sz w:val="24"/>
                <w:lang w:val="en-US" w:eastAsia="zh-CN"/>
              </w:rPr>
              <w:t xml:space="preserve"> </w:t>
            </w:r>
            <w:r>
              <w:rPr>
                <w:rStyle w:val="6"/>
                <w:rFonts w:ascii="宋体" w:hAnsi="宋体"/>
                <w:sz w:val="24"/>
              </w:rPr>
              <w:t xml:space="preserve"> </w:t>
            </w:r>
            <w:r>
              <w:rPr>
                <w:rStyle w:val="6"/>
                <w:rFonts w:hint="eastAsia" w:ascii="宋体" w:hAnsi="宋体"/>
                <w:sz w:val="24"/>
                <w:lang w:val="en-US" w:eastAsia="zh-CN"/>
              </w:rPr>
              <w:t xml:space="preserve">        </w:t>
            </w:r>
            <w:r>
              <w:rPr>
                <w:rStyle w:val="6"/>
                <w:rFonts w:ascii="宋体" w:hAnsi="宋体"/>
                <w:bCs/>
                <w:iCs/>
                <w:color w:val="000000"/>
                <w:sz w:val="24"/>
              </w:rPr>
              <w:t>□</w:t>
            </w:r>
            <w:r>
              <w:rPr>
                <w:rStyle w:val="6"/>
                <w:rFonts w:ascii="宋体" w:hAnsi="宋体"/>
                <w:sz w:val="24"/>
              </w:rPr>
              <w:t>业绩说明会</w:t>
            </w:r>
          </w:p>
          <w:p>
            <w:pPr>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 xml:space="preserve">新闻发布会         </w:t>
            </w:r>
            <w:r>
              <w:rPr>
                <w:rStyle w:val="6"/>
                <w:rFonts w:hint="eastAsia" w:ascii="宋体" w:hAnsi="宋体"/>
                <w:sz w:val="24"/>
                <w:lang w:val="en-US" w:eastAsia="zh-CN"/>
              </w:rPr>
              <w:t xml:space="preserve"> </w:t>
            </w:r>
            <w:r>
              <w:rPr>
                <w:rStyle w:val="6"/>
                <w:rFonts w:ascii="宋体" w:hAnsi="宋体"/>
                <w:sz w:val="24"/>
              </w:rPr>
              <w:t xml:space="preserve"> </w:t>
            </w:r>
            <w:r>
              <w:rPr>
                <w:rStyle w:val="6"/>
                <w:rFonts w:hint="eastAsia" w:ascii="宋体" w:hAnsi="宋体"/>
                <w:sz w:val="24"/>
                <w:lang w:val="en-US" w:eastAsia="zh-CN"/>
              </w:rPr>
              <w:t xml:space="preserve">        </w:t>
            </w:r>
            <w:r>
              <w:rPr>
                <w:rStyle w:val="6"/>
                <w:rFonts w:ascii="宋体" w:hAnsi="宋体"/>
                <w:bCs/>
                <w:iCs/>
                <w:color w:val="000000"/>
                <w:sz w:val="24"/>
              </w:rPr>
              <w:t>□</w:t>
            </w:r>
            <w:r>
              <w:rPr>
                <w:rStyle w:val="6"/>
                <w:rFonts w:ascii="宋体" w:hAnsi="宋体"/>
                <w:sz w:val="24"/>
              </w:rPr>
              <w:t>路演活动</w:t>
            </w:r>
          </w:p>
          <w:p>
            <w:pPr>
              <w:tabs>
                <w:tab w:val="left" w:pos="3045"/>
                <w:tab w:val="center" w:pos="3199"/>
              </w:tabs>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现场参观</w:t>
            </w:r>
            <w:r>
              <w:rPr>
                <w:rStyle w:val="6"/>
                <w:rFonts w:hint="eastAsia" w:ascii="宋体" w:hAnsi="宋体"/>
                <w:sz w:val="24"/>
                <w:lang w:val="en-US" w:eastAsia="zh-CN"/>
              </w:rPr>
              <w:t xml:space="preserve">                     </w:t>
            </w:r>
            <w:r>
              <w:rPr>
                <w:rStyle w:val="6"/>
                <w:rFonts w:ascii="宋体" w:hAnsi="宋体"/>
                <w:bCs/>
                <w:iCs/>
                <w:color w:val="000000"/>
                <w:sz w:val="24"/>
                <w:highlight w:val="none"/>
              </w:rPr>
              <w:sym w:font="Wingdings 2" w:char="00A3"/>
            </w:r>
            <w:r>
              <w:rPr>
                <w:rStyle w:val="6"/>
                <w:rFonts w:ascii="宋体" w:hAnsi="宋体"/>
                <w:sz w:val="24"/>
                <w:highlight w:val="none"/>
              </w:rPr>
              <w:t xml:space="preserve">其他 </w:t>
            </w:r>
            <w:r>
              <w:rPr>
                <w:rStyle w:val="6"/>
                <w:rFonts w:ascii="宋体" w:hAnsi="宋体"/>
                <w:sz w:val="24"/>
                <w:szCs w:val="22"/>
                <w:highlight w:val="none"/>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参与单位名称及人员姓名</w:t>
            </w:r>
          </w:p>
        </w:tc>
        <w:tc>
          <w:tcPr>
            <w:tcW w:w="6639" w:type="dxa"/>
            <w:tcBorders>
              <w:top w:val="single" w:color="000000" w:sz="4" w:space="0"/>
              <w:left w:val="single" w:color="000000" w:sz="4" w:space="0"/>
              <w:bottom w:val="single" w:color="000000" w:sz="4" w:space="0"/>
              <w:right w:val="single" w:color="000000" w:sz="4" w:space="0"/>
            </w:tcBorders>
            <w:vAlign w:val="top"/>
          </w:tcPr>
          <w:p>
            <w:pPr>
              <w:spacing w:line="360" w:lineRule="auto"/>
              <w:rPr>
                <w:rStyle w:val="6"/>
                <w:rFonts w:hint="eastAsia"/>
                <w:sz w:val="24"/>
                <w:lang w:val="en-US" w:eastAsia="zh-CN"/>
              </w:rPr>
            </w:pPr>
            <w:r>
              <w:rPr>
                <w:rStyle w:val="6"/>
                <w:rFonts w:hint="eastAsia"/>
                <w:sz w:val="24"/>
                <w:lang w:eastAsia="zh-CN"/>
              </w:rPr>
              <w:t>华创证券</w:t>
            </w:r>
            <w:r>
              <w:rPr>
                <w:rStyle w:val="6"/>
                <w:rFonts w:hint="eastAsia"/>
                <w:sz w:val="24"/>
                <w:lang w:val="en-US" w:eastAsia="zh-CN"/>
              </w:rPr>
              <w:t xml:space="preserve">  </w:t>
            </w:r>
            <w:r>
              <w:rPr>
                <w:rStyle w:val="6"/>
                <w:rFonts w:hint="default"/>
                <w:sz w:val="24"/>
                <w:lang w:val="en-US" w:eastAsia="zh-CN"/>
              </w:rPr>
              <w:t>诚旸投资</w:t>
            </w:r>
            <w:r>
              <w:rPr>
                <w:rStyle w:val="6"/>
                <w:rFonts w:hint="eastAsia"/>
                <w:sz w:val="24"/>
                <w:lang w:val="en-US" w:eastAsia="zh-CN"/>
              </w:rPr>
              <w:t xml:space="preserve">  淳厚基金   毕盛（QFII）</w:t>
            </w:r>
          </w:p>
          <w:p>
            <w:pPr>
              <w:spacing w:line="360" w:lineRule="auto"/>
              <w:rPr>
                <w:rStyle w:val="6"/>
                <w:rFonts w:hint="eastAsia"/>
                <w:sz w:val="24"/>
                <w:lang w:val="en-US" w:eastAsia="zh-CN"/>
              </w:rPr>
            </w:pPr>
            <w:r>
              <w:rPr>
                <w:rStyle w:val="6"/>
                <w:rFonts w:hint="eastAsia"/>
                <w:sz w:val="24"/>
                <w:lang w:val="en-US" w:eastAsia="zh-CN"/>
              </w:rPr>
              <w:t xml:space="preserve">兴业基金  丹羿投资  </w:t>
            </w:r>
            <w:r>
              <w:rPr>
                <w:rStyle w:val="6"/>
                <w:rFonts w:hint="default"/>
                <w:sz w:val="24"/>
                <w:lang w:val="en-US" w:eastAsia="zh-CN"/>
              </w:rPr>
              <w:t>东海证券</w:t>
            </w:r>
            <w:r>
              <w:rPr>
                <w:rStyle w:val="6"/>
                <w:rFonts w:hint="eastAsia"/>
                <w:sz w:val="24"/>
                <w:lang w:val="en-US" w:eastAsia="zh-CN"/>
              </w:rPr>
              <w:t xml:space="preserve">   复胜资产    </w:t>
            </w:r>
          </w:p>
          <w:p>
            <w:pPr>
              <w:spacing w:line="360" w:lineRule="auto"/>
              <w:rPr>
                <w:rStyle w:val="6"/>
                <w:rFonts w:hint="eastAsia"/>
                <w:sz w:val="24"/>
                <w:lang w:val="en-US" w:eastAsia="zh-CN"/>
              </w:rPr>
            </w:pPr>
            <w:r>
              <w:rPr>
                <w:rStyle w:val="6"/>
                <w:rFonts w:hint="eastAsia"/>
                <w:sz w:val="24"/>
                <w:lang w:val="en-US" w:eastAsia="zh-CN"/>
              </w:rPr>
              <w:t xml:space="preserve">高毅资产  </w:t>
            </w:r>
            <w:r>
              <w:rPr>
                <w:rStyle w:val="6"/>
                <w:rFonts w:hint="default"/>
                <w:sz w:val="24"/>
                <w:lang w:val="en-US" w:eastAsia="zh-CN"/>
              </w:rPr>
              <w:t>格林基金</w:t>
            </w:r>
            <w:r>
              <w:rPr>
                <w:rStyle w:val="6"/>
                <w:rFonts w:hint="eastAsia"/>
                <w:sz w:val="24"/>
                <w:lang w:val="en-US" w:eastAsia="zh-CN"/>
              </w:rPr>
              <w:t xml:space="preserve">   广州金控  红土创新 </w:t>
            </w:r>
          </w:p>
          <w:p>
            <w:pPr>
              <w:spacing w:line="360" w:lineRule="auto"/>
              <w:rPr>
                <w:rStyle w:val="6"/>
                <w:rFonts w:hint="eastAsia"/>
                <w:sz w:val="24"/>
                <w:lang w:val="en-US" w:eastAsia="zh-CN"/>
              </w:rPr>
            </w:pPr>
            <w:r>
              <w:rPr>
                <w:rStyle w:val="6"/>
                <w:rFonts w:hint="eastAsia"/>
                <w:sz w:val="24"/>
                <w:lang w:val="en-US" w:eastAsia="zh-CN"/>
              </w:rPr>
              <w:t xml:space="preserve">泓澄投资  华泰资产   华泰资管  华银基金  </w:t>
            </w:r>
          </w:p>
          <w:p>
            <w:pPr>
              <w:spacing w:line="360" w:lineRule="auto"/>
              <w:rPr>
                <w:rStyle w:val="6"/>
                <w:rFonts w:hint="eastAsia"/>
                <w:sz w:val="24"/>
                <w:lang w:val="en-US" w:eastAsia="zh-CN"/>
              </w:rPr>
            </w:pPr>
            <w:r>
              <w:rPr>
                <w:rStyle w:val="6"/>
                <w:rFonts w:hint="eastAsia"/>
                <w:sz w:val="24"/>
                <w:lang w:val="en-US" w:eastAsia="zh-CN"/>
              </w:rPr>
              <w:t xml:space="preserve">幻方量化  火星资产   金库资本  景熙资产  </w:t>
            </w:r>
          </w:p>
          <w:p>
            <w:pPr>
              <w:spacing w:line="360" w:lineRule="auto"/>
              <w:rPr>
                <w:rStyle w:val="6"/>
                <w:rFonts w:hint="eastAsia"/>
                <w:sz w:val="24"/>
                <w:lang w:val="en-US" w:eastAsia="zh-CN"/>
              </w:rPr>
            </w:pPr>
            <w:r>
              <w:rPr>
                <w:rStyle w:val="6"/>
                <w:rFonts w:hint="eastAsia"/>
                <w:sz w:val="24"/>
                <w:lang w:val="en-US" w:eastAsia="zh-CN"/>
              </w:rPr>
              <w:t xml:space="preserve">玖鹏资产  巨杉资产   宽远资产  蓝墨投资  </w:t>
            </w:r>
          </w:p>
          <w:p>
            <w:pPr>
              <w:spacing w:line="360" w:lineRule="auto"/>
              <w:rPr>
                <w:rStyle w:val="6"/>
                <w:rFonts w:hint="eastAsia"/>
                <w:sz w:val="24"/>
                <w:lang w:val="en-US" w:eastAsia="zh-CN"/>
              </w:rPr>
            </w:pPr>
            <w:r>
              <w:rPr>
                <w:rStyle w:val="6"/>
                <w:rFonts w:hint="default"/>
                <w:sz w:val="24"/>
                <w:lang w:val="en-US" w:eastAsia="zh-CN"/>
              </w:rPr>
              <w:t>茂典资产</w:t>
            </w:r>
            <w:r>
              <w:rPr>
                <w:rStyle w:val="6"/>
                <w:rFonts w:hint="eastAsia"/>
                <w:sz w:val="24"/>
                <w:lang w:val="en-US" w:eastAsia="zh-CN"/>
              </w:rPr>
              <w:t xml:space="preserve">  青骊投资   润达盛安  </w:t>
            </w:r>
            <w:r>
              <w:rPr>
                <w:rStyle w:val="6"/>
                <w:rFonts w:hint="default"/>
                <w:sz w:val="24"/>
                <w:lang w:val="en-US" w:eastAsia="zh-CN"/>
              </w:rPr>
              <w:t>神农投资</w:t>
            </w:r>
            <w:r>
              <w:rPr>
                <w:rStyle w:val="6"/>
                <w:rFonts w:hint="eastAsia"/>
                <w:sz w:val="24"/>
                <w:lang w:val="en-US" w:eastAsia="zh-CN"/>
              </w:rPr>
              <w:t xml:space="preserve">  </w:t>
            </w:r>
          </w:p>
          <w:p>
            <w:pPr>
              <w:spacing w:line="360" w:lineRule="auto"/>
              <w:rPr>
                <w:rStyle w:val="6"/>
                <w:rFonts w:hint="eastAsia"/>
                <w:sz w:val="24"/>
                <w:lang w:val="en-US" w:eastAsia="zh-CN"/>
              </w:rPr>
            </w:pPr>
            <w:r>
              <w:rPr>
                <w:rStyle w:val="6"/>
                <w:rFonts w:hint="eastAsia"/>
                <w:sz w:val="24"/>
                <w:lang w:val="en-US" w:eastAsia="zh-CN"/>
              </w:rPr>
              <w:t xml:space="preserve">天治基金  通用技术   信达澳银  兴业自营  </w:t>
            </w:r>
          </w:p>
          <w:p>
            <w:pPr>
              <w:spacing w:line="360" w:lineRule="auto"/>
              <w:rPr>
                <w:rStyle w:val="6"/>
                <w:rFonts w:hint="eastAsia"/>
                <w:sz w:val="24"/>
                <w:lang w:val="en-US" w:eastAsia="zh-CN"/>
              </w:rPr>
            </w:pPr>
            <w:r>
              <w:rPr>
                <w:rStyle w:val="6"/>
                <w:rFonts w:hint="default"/>
                <w:sz w:val="24"/>
                <w:lang w:val="en-US" w:eastAsia="zh-CN"/>
              </w:rPr>
              <w:t>永赢基金</w:t>
            </w:r>
            <w:r>
              <w:rPr>
                <w:rStyle w:val="6"/>
                <w:rFonts w:hint="eastAsia"/>
                <w:sz w:val="24"/>
                <w:lang w:val="en-US" w:eastAsia="zh-CN"/>
              </w:rPr>
              <w:t xml:space="preserve">  友邦人寿   圆信永丰  招行理财  </w:t>
            </w:r>
          </w:p>
          <w:p>
            <w:pPr>
              <w:spacing w:line="360" w:lineRule="auto"/>
              <w:rPr>
                <w:rStyle w:val="6"/>
                <w:rFonts w:hint="eastAsia"/>
                <w:sz w:val="24"/>
                <w:lang w:val="en-US" w:eastAsia="zh-CN"/>
              </w:rPr>
            </w:pPr>
            <w:r>
              <w:rPr>
                <w:rStyle w:val="6"/>
                <w:rFonts w:hint="eastAsia"/>
                <w:sz w:val="24"/>
                <w:lang w:val="en-US" w:eastAsia="zh-CN"/>
              </w:rPr>
              <w:t xml:space="preserve">中庚基金  中海基金   中融基金  中泰资管  </w:t>
            </w:r>
          </w:p>
          <w:p>
            <w:pPr>
              <w:spacing w:line="360" w:lineRule="auto"/>
              <w:rPr>
                <w:rStyle w:val="6"/>
                <w:rFonts w:hint="eastAsia"/>
                <w:sz w:val="24"/>
                <w:lang w:val="en-US" w:eastAsia="zh-CN"/>
              </w:rPr>
            </w:pPr>
            <w:r>
              <w:rPr>
                <w:rStyle w:val="6"/>
                <w:rFonts w:hint="default"/>
                <w:sz w:val="24"/>
                <w:lang w:val="en-US" w:eastAsia="zh-CN"/>
              </w:rPr>
              <w:t>中亿投资</w:t>
            </w:r>
            <w:r>
              <w:rPr>
                <w:rStyle w:val="6"/>
                <w:rFonts w:hint="eastAsia"/>
                <w:sz w:val="24"/>
                <w:lang w:val="en-US" w:eastAsia="zh-CN"/>
              </w:rPr>
              <w:t xml:space="preserve">  </w:t>
            </w:r>
            <w:r>
              <w:rPr>
                <w:rStyle w:val="6"/>
                <w:rFonts w:hint="default"/>
                <w:sz w:val="24"/>
                <w:lang w:val="en-US" w:eastAsia="zh-CN"/>
              </w:rPr>
              <w:t>珠池资产</w:t>
            </w:r>
            <w:r>
              <w:rPr>
                <w:rStyle w:val="6"/>
                <w:rFonts w:hint="eastAsia"/>
                <w:sz w:val="24"/>
                <w:lang w:val="en-US" w:eastAsia="zh-CN"/>
              </w:rPr>
              <w:t xml:space="preserve">   </w:t>
            </w:r>
            <w:r>
              <w:rPr>
                <w:rStyle w:val="6"/>
                <w:rFonts w:hint="default"/>
                <w:sz w:val="24"/>
                <w:lang w:val="en-US" w:eastAsia="zh-CN"/>
              </w:rPr>
              <w:t>中金资管</w:t>
            </w:r>
            <w:r>
              <w:rPr>
                <w:rStyle w:val="6"/>
                <w:rFonts w:hint="eastAsia"/>
                <w:sz w:val="24"/>
                <w:lang w:val="en-US" w:eastAsia="zh-CN"/>
              </w:rPr>
              <w:t xml:space="preserve">  圆信永丰</w:t>
            </w:r>
          </w:p>
          <w:p>
            <w:pPr>
              <w:spacing w:line="360" w:lineRule="auto"/>
              <w:rPr>
                <w:rStyle w:val="6"/>
                <w:rFonts w:hint="eastAsia"/>
                <w:sz w:val="24"/>
                <w:lang w:val="en-US" w:eastAsia="zh-CN"/>
              </w:rPr>
            </w:pPr>
            <w:r>
              <w:rPr>
                <w:rStyle w:val="6"/>
                <w:rFonts w:hint="eastAsia"/>
                <w:sz w:val="24"/>
                <w:lang w:val="en-US" w:eastAsia="zh-CN"/>
              </w:rPr>
              <w:t>兴业全球  兴大自营   上银基金  富容基金</w:t>
            </w:r>
          </w:p>
          <w:p>
            <w:pPr>
              <w:spacing w:line="360" w:lineRule="auto"/>
              <w:rPr>
                <w:rStyle w:val="6"/>
                <w:rFonts w:hint="eastAsia" w:eastAsia="宋体"/>
                <w:sz w:val="24"/>
                <w:lang w:val="en-US" w:eastAsia="zh-CN"/>
              </w:rPr>
            </w:pPr>
            <w:r>
              <w:rPr>
                <w:rStyle w:val="6"/>
                <w:rFonts w:hint="eastAsia"/>
                <w:sz w:val="24"/>
                <w:lang w:val="en-US" w:eastAsia="zh-CN"/>
              </w:rPr>
              <w:t>华平投资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时间</w:t>
            </w: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hint="default" w:ascii="宋体" w:hAnsi="宋体" w:eastAsia="宋体"/>
                <w:bCs/>
                <w:iCs/>
                <w:color w:val="000000"/>
                <w:sz w:val="24"/>
                <w:lang w:val="en-US" w:eastAsia="zh-CN"/>
              </w:rPr>
            </w:pPr>
            <w:r>
              <w:rPr>
                <w:rStyle w:val="6"/>
                <w:rFonts w:ascii="宋体" w:hAnsi="宋体"/>
                <w:bCs/>
                <w:iCs/>
                <w:color w:val="000000"/>
                <w:sz w:val="24"/>
              </w:rPr>
              <w:t>20</w:t>
            </w:r>
            <w:r>
              <w:rPr>
                <w:rStyle w:val="6"/>
                <w:rFonts w:hint="eastAsia" w:ascii="宋体" w:hAnsi="宋体"/>
                <w:bCs/>
                <w:iCs/>
                <w:color w:val="000000"/>
                <w:sz w:val="24"/>
                <w:lang w:val="en-US" w:eastAsia="zh-CN"/>
              </w:rPr>
              <w:t>21</w:t>
            </w:r>
            <w:r>
              <w:rPr>
                <w:rStyle w:val="6"/>
                <w:rFonts w:ascii="宋体" w:hAnsi="宋体"/>
                <w:bCs/>
                <w:iCs/>
                <w:color w:val="000000"/>
                <w:sz w:val="24"/>
              </w:rPr>
              <w:t>年</w:t>
            </w:r>
            <w:r>
              <w:rPr>
                <w:rStyle w:val="6"/>
                <w:rFonts w:hint="eastAsia" w:ascii="宋体" w:hAnsi="宋体"/>
                <w:bCs/>
                <w:iCs/>
                <w:color w:val="000000"/>
                <w:sz w:val="24"/>
                <w:lang w:val="en-US" w:eastAsia="zh-CN"/>
              </w:rPr>
              <w:t>3</w:t>
            </w:r>
            <w:r>
              <w:rPr>
                <w:rStyle w:val="6"/>
                <w:rFonts w:ascii="宋体" w:hAnsi="宋体"/>
                <w:bCs/>
                <w:iCs/>
                <w:color w:val="000000"/>
                <w:sz w:val="24"/>
              </w:rPr>
              <w:t>月</w:t>
            </w:r>
            <w:r>
              <w:rPr>
                <w:rStyle w:val="6"/>
                <w:rFonts w:hint="eastAsia" w:ascii="宋体" w:hAnsi="宋体"/>
                <w:bCs/>
                <w:iCs/>
                <w:color w:val="000000"/>
                <w:sz w:val="24"/>
                <w:lang w:val="en-US" w:eastAsia="zh-CN"/>
              </w:rPr>
              <w:t>3</w:t>
            </w:r>
            <w:r>
              <w:rPr>
                <w:rStyle w:val="6"/>
                <w:rFonts w:ascii="宋体" w:hAnsi="宋体"/>
                <w:bCs/>
                <w:iCs/>
                <w:color w:val="000000"/>
                <w:sz w:val="24"/>
              </w:rPr>
              <w:t>日</w:t>
            </w:r>
            <w:r>
              <w:rPr>
                <w:rStyle w:val="6"/>
                <w:rFonts w:hint="eastAsia" w:ascii="宋体" w:hAnsi="宋体"/>
                <w:bCs/>
                <w:iCs/>
                <w:color w:val="000000"/>
                <w:sz w:val="24"/>
                <w:lang w:eastAsia="zh-CN"/>
              </w:rPr>
              <w:t>下</w:t>
            </w:r>
            <w:r>
              <w:rPr>
                <w:rStyle w:val="6"/>
                <w:rFonts w:ascii="宋体" w:hAnsi="宋体"/>
                <w:bCs/>
                <w:iCs/>
                <w:color w:val="000000"/>
                <w:sz w:val="24"/>
              </w:rPr>
              <w:t>午</w:t>
            </w:r>
            <w:r>
              <w:rPr>
                <w:rStyle w:val="6"/>
                <w:rFonts w:hint="eastAsia" w:ascii="宋体" w:hAnsi="宋体"/>
                <w:bCs/>
                <w:iCs/>
                <w:color w:val="000000"/>
                <w:sz w:val="24"/>
                <w:lang w:val="en-US" w:eastAsia="zh-CN"/>
              </w:rPr>
              <w:t>16</w:t>
            </w:r>
            <w:r>
              <w:rPr>
                <w:rStyle w:val="6"/>
                <w:rFonts w:ascii="宋体" w:hAnsi="宋体"/>
                <w:bCs/>
                <w:iCs/>
                <w:color w:val="000000"/>
                <w:sz w:val="24"/>
              </w:rPr>
              <w:t>：</w:t>
            </w:r>
            <w:r>
              <w:rPr>
                <w:rStyle w:val="6"/>
                <w:rFonts w:hint="eastAsia" w:ascii="宋体" w:hAnsi="宋体"/>
                <w:bCs/>
                <w:iCs/>
                <w:color w:val="000000"/>
                <w:sz w:val="24"/>
                <w:lang w:val="en-US" w:eastAsia="zh-CN"/>
              </w:rPr>
              <w:t>0</w:t>
            </w:r>
            <w:r>
              <w:rPr>
                <w:rStyle w:val="6"/>
                <w:rFonts w:ascii="宋体" w:hAnsi="宋体"/>
                <w:bCs/>
                <w:iCs/>
                <w:color w:val="000000"/>
                <w:sz w:val="24"/>
              </w:rPr>
              <w:t>0-1</w:t>
            </w:r>
            <w:r>
              <w:rPr>
                <w:rStyle w:val="6"/>
                <w:rFonts w:hint="eastAsia" w:ascii="宋体" w:hAnsi="宋体"/>
                <w:bCs/>
                <w:iCs/>
                <w:color w:val="000000"/>
                <w:sz w:val="24"/>
                <w:lang w:val="en-US" w:eastAsia="zh-CN"/>
              </w:rPr>
              <w:t>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地点</w:t>
            </w: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hint="default" w:ascii="宋体" w:hAnsi="宋体" w:eastAsia="宋体"/>
                <w:bCs/>
                <w:iCs/>
                <w:color w:val="000000"/>
                <w:sz w:val="24"/>
                <w:lang w:val="en-US" w:eastAsia="zh-CN"/>
              </w:rPr>
            </w:pPr>
            <w:r>
              <w:rPr>
                <w:rStyle w:val="6"/>
                <w:rFonts w:hint="eastAsia" w:ascii="宋体" w:hAnsi="宋体"/>
                <w:bCs/>
                <w:iCs/>
                <w:color w:val="000000"/>
                <w:sz w:val="24"/>
                <w:lang w:val="en-US" w:eastAsia="zh-CN"/>
              </w:rPr>
              <w:t>浙江仙琚制药股份有限公司   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上市公司接待人员姓名</w:t>
            </w: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董事会秘书    张王伟</w:t>
            </w:r>
          </w:p>
          <w:p>
            <w:pPr>
              <w:spacing w:line="480" w:lineRule="atLeast"/>
              <w:rPr>
                <w:rStyle w:val="6"/>
                <w:rFonts w:hint="eastAsia" w:ascii="宋体" w:hAnsi="宋体" w:eastAsia="宋体"/>
                <w:bCs/>
                <w:iCs/>
                <w:color w:val="000000"/>
                <w:sz w:val="24"/>
                <w:lang w:eastAsia="zh-CN"/>
              </w:rPr>
            </w:pPr>
            <w:r>
              <w:rPr>
                <w:rStyle w:val="6"/>
                <w:rFonts w:ascii="宋体" w:hAnsi="宋体"/>
                <w:bCs/>
                <w:iCs/>
                <w:color w:val="000000"/>
                <w:sz w:val="24"/>
              </w:rPr>
              <w:t xml:space="preserve">证券事务代表  </w:t>
            </w:r>
            <w:r>
              <w:rPr>
                <w:rStyle w:val="6"/>
                <w:rFonts w:hint="eastAsia" w:ascii="宋体" w:hAnsi="宋体"/>
                <w:bCs/>
                <w:iCs/>
                <w:color w:val="000000"/>
                <w:sz w:val="24"/>
                <w:lang w:eastAsia="zh-CN"/>
              </w:rPr>
              <w:t>沈旭红</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投资者关系活动主要内容介绍</w:t>
            </w:r>
          </w:p>
          <w:p>
            <w:pPr>
              <w:spacing w:line="480" w:lineRule="atLeast"/>
              <w:rPr>
                <w:rStyle w:val="6"/>
                <w:rFonts w:ascii="宋体" w:hAnsi="宋体"/>
                <w:b/>
                <w:bCs/>
                <w:iCs/>
                <w:color w:val="000000" w:themeColor="text1"/>
                <w:sz w:val="24"/>
                <w14:textFill>
                  <w14:solidFill>
                    <w14:schemeClr w14:val="tx1"/>
                  </w14:solidFill>
                </w14:textFill>
              </w:rPr>
            </w:pPr>
          </w:p>
        </w:tc>
        <w:tc>
          <w:tcPr>
            <w:tcW w:w="6639" w:type="dxa"/>
            <w:tcBorders>
              <w:top w:val="single" w:color="000000" w:sz="4" w:space="0"/>
              <w:left w:val="single" w:color="000000" w:sz="4" w:space="0"/>
              <w:bottom w:val="single" w:color="000000" w:sz="4" w:space="0"/>
              <w:right w:val="single" w:color="000000" w:sz="4" w:space="0"/>
            </w:tcBorders>
          </w:tcPr>
          <w:p>
            <w:pPr>
              <w:spacing w:line="420" w:lineRule="exact"/>
              <w:rPr>
                <w:rStyle w:val="6"/>
                <w:rFonts w:ascii="宋体" w:hAnsi="宋体"/>
                <w:b/>
                <w:color w:val="000000" w:themeColor="text1"/>
                <w:sz w:val="24"/>
                <w:szCs w:val="22"/>
                <w14:textFill>
                  <w14:solidFill>
                    <w14:schemeClr w14:val="tx1"/>
                  </w14:solidFill>
                </w14:textFill>
              </w:rPr>
            </w:pPr>
            <w:r>
              <w:rPr>
                <w:rStyle w:val="6"/>
                <w:rFonts w:ascii="宋体" w:hAnsi="宋体"/>
                <w:b/>
                <w:color w:val="000000" w:themeColor="text1"/>
                <w:sz w:val="24"/>
                <w14:textFill>
                  <w14:solidFill>
                    <w14:schemeClr w14:val="tx1"/>
                  </w14:solidFill>
                </w14:textFill>
              </w:rPr>
              <w:t>1、</w:t>
            </w:r>
            <w:r>
              <w:rPr>
                <w:rStyle w:val="6"/>
                <w:rFonts w:ascii="宋体" w:hAnsi="宋体"/>
                <w:b/>
                <w:color w:val="000000" w:themeColor="text1"/>
                <w:sz w:val="24"/>
                <w:szCs w:val="22"/>
                <w14:textFill>
                  <w14:solidFill>
                    <w14:schemeClr w14:val="tx1"/>
                  </w14:solidFill>
                </w14:textFill>
              </w:rPr>
              <w:t>介绍公司</w:t>
            </w:r>
            <w:r>
              <w:rPr>
                <w:rStyle w:val="6"/>
                <w:rFonts w:hint="eastAsia" w:ascii="宋体" w:hAnsi="宋体"/>
                <w:b/>
                <w:color w:val="000000" w:themeColor="text1"/>
                <w:sz w:val="24"/>
                <w:szCs w:val="22"/>
                <w:lang w:val="en-US" w:eastAsia="zh-CN"/>
                <w14:textFill>
                  <w14:solidFill>
                    <w14:schemeClr w14:val="tx1"/>
                  </w14:solidFill>
                </w14:textFill>
              </w:rPr>
              <w:t>2020</w:t>
            </w:r>
            <w:r>
              <w:rPr>
                <w:rStyle w:val="6"/>
                <w:rFonts w:ascii="宋体" w:hAnsi="宋体"/>
                <w:b/>
                <w:color w:val="000000" w:themeColor="text1"/>
                <w:sz w:val="24"/>
                <w:szCs w:val="22"/>
                <w14:textFill>
                  <w14:solidFill>
                    <w14:schemeClr w14:val="tx1"/>
                  </w14:solidFill>
                </w14:textFill>
              </w:rPr>
              <w:t>年</w:t>
            </w:r>
            <w:r>
              <w:rPr>
                <w:rStyle w:val="6"/>
                <w:rFonts w:hint="eastAsia" w:ascii="宋体" w:hAnsi="宋体"/>
                <w:b/>
                <w:color w:val="000000" w:themeColor="text1"/>
                <w:sz w:val="24"/>
                <w:szCs w:val="22"/>
                <w:lang w:eastAsia="zh-CN"/>
                <w14:textFill>
                  <w14:solidFill>
                    <w14:schemeClr w14:val="tx1"/>
                  </w14:solidFill>
                </w14:textFill>
              </w:rPr>
              <w:t>度</w:t>
            </w:r>
            <w:r>
              <w:rPr>
                <w:rStyle w:val="6"/>
                <w:rFonts w:ascii="宋体" w:hAnsi="宋体"/>
                <w:b/>
                <w:color w:val="000000" w:themeColor="text1"/>
                <w:sz w:val="24"/>
                <w:szCs w:val="22"/>
                <w14:textFill>
                  <w14:solidFill>
                    <w14:schemeClr w14:val="tx1"/>
                  </w14:solidFill>
                </w14:textFill>
              </w:rPr>
              <w:t>业绩快报基本情况</w:t>
            </w:r>
          </w:p>
          <w:p>
            <w:pPr>
              <w:spacing w:line="480" w:lineRule="atLeast"/>
              <w:ind w:firstLine="480" w:firstLineChars="200"/>
              <w:rPr>
                <w:rStyle w:val="6"/>
                <w:rFonts w:hint="eastAsia" w:ascii="宋体" w:hAnsi="宋体"/>
                <w:bCs/>
                <w:iCs/>
                <w:color w:val="000000" w:themeColor="text1"/>
                <w:sz w:val="24"/>
                <w:szCs w:val="22"/>
                <w:lang w:eastAsia="zh-CN"/>
                <w14:textFill>
                  <w14:solidFill>
                    <w14:schemeClr w14:val="tx1"/>
                  </w14:solidFill>
                </w14:textFill>
              </w:rPr>
            </w:pPr>
            <w:r>
              <w:rPr>
                <w:rStyle w:val="6"/>
                <w:rFonts w:hint="eastAsia" w:ascii="宋体" w:hAnsi="宋体"/>
                <w:bCs/>
                <w:iCs/>
                <w:color w:val="000000" w:themeColor="text1"/>
                <w:sz w:val="24"/>
                <w:szCs w:val="22"/>
                <w:lang w:eastAsia="zh-CN"/>
                <w14:textFill>
                  <w14:solidFill>
                    <w14:schemeClr w14:val="tx1"/>
                  </w14:solidFill>
                </w14:textFill>
              </w:rPr>
              <w:t>公司</w:t>
            </w:r>
            <w:r>
              <w:rPr>
                <w:rStyle w:val="6"/>
                <w:rFonts w:hint="eastAsia" w:ascii="宋体" w:hAnsi="宋体"/>
                <w:bCs/>
                <w:iCs/>
                <w:color w:val="000000" w:themeColor="text1"/>
                <w:sz w:val="24"/>
                <w:szCs w:val="22"/>
                <w:lang w:val="en-US" w:eastAsia="zh-CN"/>
                <w14:textFill>
                  <w14:solidFill>
                    <w14:schemeClr w14:val="tx1"/>
                  </w14:solidFill>
                </w14:textFill>
              </w:rPr>
              <w:t>2020年度</w:t>
            </w:r>
            <w:r>
              <w:rPr>
                <w:rStyle w:val="6"/>
                <w:rFonts w:hint="eastAsia" w:ascii="宋体" w:hAnsi="宋体"/>
                <w:bCs/>
                <w:iCs/>
                <w:color w:val="000000" w:themeColor="text1"/>
                <w:sz w:val="24"/>
                <w:szCs w:val="22"/>
                <w:lang w:eastAsia="zh-CN"/>
                <w14:textFill>
                  <w14:solidFill>
                    <w14:schemeClr w14:val="tx1"/>
                  </w14:solidFill>
                </w14:textFill>
              </w:rPr>
              <w:t>业绩快报已于</w:t>
            </w:r>
            <w:r>
              <w:rPr>
                <w:rStyle w:val="6"/>
                <w:rFonts w:hint="eastAsia" w:ascii="宋体" w:hAnsi="宋体"/>
                <w:bCs/>
                <w:iCs/>
                <w:color w:val="000000" w:themeColor="text1"/>
                <w:sz w:val="24"/>
                <w:szCs w:val="22"/>
                <w:lang w:val="en-US" w:eastAsia="zh-CN"/>
                <w14:textFill>
                  <w14:solidFill>
                    <w14:schemeClr w14:val="tx1"/>
                  </w14:solidFill>
                </w14:textFill>
              </w:rPr>
              <w:t>2020年2月25日公告，</w:t>
            </w:r>
            <w:r>
              <w:rPr>
                <w:rStyle w:val="6"/>
                <w:rFonts w:hint="eastAsia" w:ascii="宋体" w:hAnsi="宋体"/>
                <w:bCs/>
                <w:iCs/>
                <w:color w:val="000000" w:themeColor="text1"/>
                <w:sz w:val="24"/>
                <w:szCs w:val="22"/>
                <w14:textFill>
                  <w14:solidFill>
                    <w14:schemeClr w14:val="tx1"/>
                  </w14:solidFill>
                </w14:textFill>
              </w:rPr>
              <w:t>公司实现营业收入</w:t>
            </w:r>
            <w:r>
              <w:rPr>
                <w:rStyle w:val="6"/>
                <w:rFonts w:hint="eastAsia" w:ascii="宋体" w:hAnsi="宋体"/>
                <w:bCs/>
                <w:iCs/>
                <w:color w:val="000000" w:themeColor="text1"/>
                <w:sz w:val="24"/>
                <w:szCs w:val="22"/>
                <w:lang w:val="en-US" w:eastAsia="zh-CN"/>
                <w14:textFill>
                  <w14:solidFill>
                    <w14:schemeClr w14:val="tx1"/>
                  </w14:solidFill>
                </w14:textFill>
              </w:rPr>
              <w:t>40.15亿</w:t>
            </w:r>
            <w:r>
              <w:rPr>
                <w:rStyle w:val="6"/>
                <w:rFonts w:hint="eastAsia" w:ascii="宋体" w:hAnsi="宋体"/>
                <w:bCs/>
                <w:iCs/>
                <w:color w:val="000000" w:themeColor="text1"/>
                <w:sz w:val="24"/>
                <w:szCs w:val="22"/>
                <w14:textFill>
                  <w14:solidFill>
                    <w14:schemeClr w14:val="tx1"/>
                  </w14:solidFill>
                </w14:textFill>
              </w:rPr>
              <w:t>元，同比增长</w:t>
            </w:r>
            <w:r>
              <w:rPr>
                <w:rStyle w:val="6"/>
                <w:rFonts w:hint="eastAsia" w:ascii="宋体" w:hAnsi="宋体"/>
                <w:bCs/>
                <w:iCs/>
                <w:color w:val="000000" w:themeColor="text1"/>
                <w:sz w:val="24"/>
                <w:szCs w:val="22"/>
                <w:lang w:val="en-US" w:eastAsia="zh-CN"/>
                <w14:textFill>
                  <w14:solidFill>
                    <w14:schemeClr w14:val="tx1"/>
                  </w14:solidFill>
                </w14:textFill>
              </w:rPr>
              <w:t>8.27</w:t>
            </w:r>
            <w:r>
              <w:rPr>
                <w:rStyle w:val="6"/>
                <w:rFonts w:ascii="宋体" w:hAnsi="宋体"/>
                <w:bCs/>
                <w:iCs/>
                <w:color w:val="000000" w:themeColor="text1"/>
                <w:sz w:val="24"/>
                <w:szCs w:val="22"/>
                <w14:textFill>
                  <w14:solidFill>
                    <w14:schemeClr w14:val="tx1"/>
                  </w14:solidFill>
                </w14:textFill>
              </w:rPr>
              <w:t>%</w:t>
            </w:r>
            <w:r>
              <w:rPr>
                <w:rStyle w:val="6"/>
                <w:rFonts w:hint="eastAsia" w:ascii="宋体" w:hAnsi="宋体"/>
                <w:bCs/>
                <w:iCs/>
                <w:color w:val="000000" w:themeColor="text1"/>
                <w:sz w:val="24"/>
                <w:szCs w:val="22"/>
                <w14:textFill>
                  <w14:solidFill>
                    <w14:schemeClr w14:val="tx1"/>
                  </w14:solidFill>
                </w14:textFill>
              </w:rPr>
              <w:t>；利润总额</w:t>
            </w:r>
            <w:r>
              <w:rPr>
                <w:rStyle w:val="6"/>
                <w:rFonts w:hint="eastAsia" w:ascii="宋体" w:hAnsi="宋体"/>
                <w:bCs/>
                <w:iCs/>
                <w:color w:val="000000" w:themeColor="text1"/>
                <w:sz w:val="24"/>
                <w:szCs w:val="22"/>
                <w:lang w:val="en-US" w:eastAsia="zh-CN"/>
                <w14:textFill>
                  <w14:solidFill>
                    <w14:schemeClr w14:val="tx1"/>
                  </w14:solidFill>
                </w14:textFill>
              </w:rPr>
              <w:t>6.38亿</w:t>
            </w:r>
            <w:r>
              <w:rPr>
                <w:rStyle w:val="6"/>
                <w:rFonts w:hint="eastAsia" w:ascii="宋体" w:hAnsi="宋体"/>
                <w:bCs/>
                <w:iCs/>
                <w:color w:val="000000" w:themeColor="text1"/>
                <w:sz w:val="24"/>
                <w:szCs w:val="22"/>
                <w14:textFill>
                  <w14:solidFill>
                    <w14:schemeClr w14:val="tx1"/>
                  </w14:solidFill>
                </w14:textFill>
              </w:rPr>
              <w:t>元，同比增长2</w:t>
            </w:r>
            <w:r>
              <w:rPr>
                <w:rStyle w:val="6"/>
                <w:rFonts w:hint="eastAsia" w:ascii="宋体" w:hAnsi="宋体"/>
                <w:bCs/>
                <w:iCs/>
                <w:color w:val="000000" w:themeColor="text1"/>
                <w:sz w:val="24"/>
                <w:szCs w:val="22"/>
                <w:lang w:val="en-US" w:eastAsia="zh-CN"/>
                <w14:textFill>
                  <w14:solidFill>
                    <w14:schemeClr w14:val="tx1"/>
                  </w14:solidFill>
                </w14:textFill>
              </w:rPr>
              <w:t>1.07</w:t>
            </w:r>
            <w:r>
              <w:rPr>
                <w:rStyle w:val="6"/>
                <w:rFonts w:ascii="宋体" w:hAnsi="宋体"/>
                <w:bCs/>
                <w:iCs/>
                <w:color w:val="000000" w:themeColor="text1"/>
                <w:sz w:val="24"/>
                <w:szCs w:val="22"/>
                <w14:textFill>
                  <w14:solidFill>
                    <w14:schemeClr w14:val="tx1"/>
                  </w14:solidFill>
                </w14:textFill>
              </w:rPr>
              <w:t>%</w:t>
            </w:r>
            <w:r>
              <w:rPr>
                <w:rStyle w:val="6"/>
                <w:rFonts w:hint="eastAsia" w:ascii="宋体" w:hAnsi="宋体"/>
                <w:bCs/>
                <w:iCs/>
                <w:color w:val="000000" w:themeColor="text1"/>
                <w:sz w:val="24"/>
                <w:szCs w:val="22"/>
                <w14:textFill>
                  <w14:solidFill>
                    <w14:schemeClr w14:val="tx1"/>
                  </w14:solidFill>
                </w14:textFill>
              </w:rPr>
              <w:t>；归属于上市公司股东的净利润</w:t>
            </w:r>
            <w:r>
              <w:rPr>
                <w:rStyle w:val="6"/>
                <w:rFonts w:hint="eastAsia" w:ascii="宋体" w:hAnsi="宋体"/>
                <w:bCs/>
                <w:iCs/>
                <w:color w:val="000000" w:themeColor="text1"/>
                <w:sz w:val="24"/>
                <w:szCs w:val="22"/>
                <w:lang w:val="en-US" w:eastAsia="zh-CN"/>
                <w14:textFill>
                  <w14:solidFill>
                    <w14:schemeClr w14:val="tx1"/>
                  </w14:solidFill>
                </w14:textFill>
              </w:rPr>
              <w:t>5.05亿</w:t>
            </w:r>
            <w:r>
              <w:rPr>
                <w:rStyle w:val="6"/>
                <w:rFonts w:hint="eastAsia" w:ascii="宋体" w:hAnsi="宋体"/>
                <w:bCs/>
                <w:iCs/>
                <w:color w:val="000000" w:themeColor="text1"/>
                <w:sz w:val="24"/>
                <w:szCs w:val="22"/>
                <w14:textFill>
                  <w14:solidFill>
                    <w14:schemeClr w14:val="tx1"/>
                  </w14:solidFill>
                </w14:textFill>
              </w:rPr>
              <w:t>元，同比增长</w:t>
            </w:r>
            <w:r>
              <w:rPr>
                <w:rStyle w:val="6"/>
                <w:rFonts w:hint="eastAsia" w:ascii="宋体" w:hAnsi="宋体"/>
                <w:bCs/>
                <w:iCs/>
                <w:color w:val="000000" w:themeColor="text1"/>
                <w:sz w:val="24"/>
                <w:szCs w:val="22"/>
                <w:lang w:val="en-US" w:eastAsia="zh-CN"/>
                <w14:textFill>
                  <w14:solidFill>
                    <w14:schemeClr w14:val="tx1"/>
                  </w14:solidFill>
                </w14:textFill>
              </w:rPr>
              <w:t>23.15</w:t>
            </w:r>
            <w:r>
              <w:rPr>
                <w:rStyle w:val="6"/>
                <w:rFonts w:hint="eastAsia" w:ascii="宋体" w:hAnsi="宋体"/>
                <w:bCs/>
                <w:iCs/>
                <w:color w:val="000000" w:themeColor="text1"/>
                <w:sz w:val="24"/>
                <w:szCs w:val="22"/>
                <w14:textFill>
                  <w14:solidFill>
                    <w14:schemeClr w14:val="tx1"/>
                  </w14:solidFill>
                </w14:textFill>
              </w:rPr>
              <w:t>%。</w:t>
            </w:r>
            <w:r>
              <w:rPr>
                <w:rStyle w:val="6"/>
                <w:rFonts w:hint="eastAsia" w:ascii="宋体" w:hAnsi="宋体"/>
                <w:bCs/>
                <w:iCs/>
                <w:color w:val="000000" w:themeColor="text1"/>
                <w:sz w:val="24"/>
                <w:szCs w:val="22"/>
                <w:lang w:val="en-US" w:eastAsia="zh-CN"/>
                <w14:textFill>
                  <w14:solidFill>
                    <w14:schemeClr w14:val="tx1"/>
                  </w14:solidFill>
                </w14:textFill>
              </w:rPr>
              <w:t>(</w:t>
            </w:r>
            <w:r>
              <w:rPr>
                <w:rStyle w:val="6"/>
                <w:rFonts w:hint="eastAsia" w:ascii="宋体" w:hAnsi="宋体"/>
                <w:bCs/>
                <w:iCs/>
                <w:color w:val="000000" w:themeColor="text1"/>
                <w:sz w:val="24"/>
                <w:szCs w:val="22"/>
                <w:lang w:eastAsia="zh-CN"/>
                <w14:textFill>
                  <w14:solidFill>
                    <w14:schemeClr w14:val="tx1"/>
                  </w14:solidFill>
                </w14:textFill>
              </w:rPr>
              <w:t>上述数据未经会计师事务所审计</w:t>
            </w:r>
            <w:r>
              <w:rPr>
                <w:rStyle w:val="6"/>
                <w:rFonts w:hint="eastAsia" w:ascii="宋体" w:hAnsi="宋体"/>
                <w:bCs/>
                <w:iCs/>
                <w:color w:val="000000" w:themeColor="text1"/>
                <w:sz w:val="24"/>
                <w:szCs w:val="22"/>
                <w:lang w:val="en-US" w:eastAsia="zh-CN"/>
                <w14:textFill>
                  <w14:solidFill>
                    <w14:schemeClr w14:val="tx1"/>
                  </w14:solidFill>
                </w14:textFill>
              </w:rPr>
              <w:t>,与年报中披露的最终数据可能存在差异，请投资者注意投资风险)</w:t>
            </w:r>
            <w:r>
              <w:rPr>
                <w:rStyle w:val="6"/>
                <w:rFonts w:hint="eastAsia" w:ascii="宋体" w:hAnsi="宋体"/>
                <w:bCs/>
                <w:iCs/>
                <w:color w:val="000000" w:themeColor="text1"/>
                <w:sz w:val="24"/>
                <w:szCs w:val="22"/>
                <w:lang w:eastAsia="zh-CN"/>
                <w14:textFill>
                  <w14:solidFill>
                    <w14:schemeClr w14:val="tx1"/>
                  </w14:solidFill>
                </w14:textFill>
              </w:rPr>
              <w:t>。</w:t>
            </w:r>
          </w:p>
          <w:p>
            <w:pPr>
              <w:spacing w:line="480" w:lineRule="atLeast"/>
              <w:ind w:firstLine="480" w:firstLineChars="200"/>
              <w:rPr>
                <w:rStyle w:val="6"/>
                <w:rFonts w:hint="default" w:ascii="宋体" w:hAnsi="宋体" w:eastAsia="宋体"/>
                <w:bCs/>
                <w:iCs/>
                <w:color w:val="000000" w:themeColor="text1"/>
                <w:sz w:val="24"/>
                <w:szCs w:val="22"/>
                <w:lang w:val="en-US" w:eastAsia="zh-CN"/>
                <w14:textFill>
                  <w14:solidFill>
                    <w14:schemeClr w14:val="tx1"/>
                  </w14:solidFill>
                </w14:textFill>
              </w:rPr>
            </w:pPr>
            <w:r>
              <w:rPr>
                <w:rStyle w:val="6"/>
                <w:rFonts w:hint="eastAsia" w:ascii="宋体" w:hAnsi="宋体"/>
                <w:bCs/>
                <w:iCs/>
                <w:color w:val="000000" w:themeColor="text1"/>
                <w:sz w:val="24"/>
                <w:szCs w:val="22"/>
                <w:lang w:eastAsia="zh-CN"/>
                <w14:textFill>
                  <w14:solidFill>
                    <w14:schemeClr w14:val="tx1"/>
                  </w14:solidFill>
                </w14:textFill>
              </w:rPr>
              <w:t>截止</w:t>
            </w:r>
            <w:r>
              <w:rPr>
                <w:rStyle w:val="6"/>
                <w:rFonts w:hint="eastAsia" w:ascii="宋体" w:hAnsi="宋体"/>
                <w:bCs/>
                <w:iCs/>
                <w:color w:val="000000" w:themeColor="text1"/>
                <w:sz w:val="24"/>
                <w:szCs w:val="22"/>
                <w:lang w:val="en-US" w:eastAsia="zh-CN"/>
                <w14:textFill>
                  <w14:solidFill>
                    <w14:schemeClr w14:val="tx1"/>
                  </w14:solidFill>
                </w14:textFill>
              </w:rPr>
              <w:t>2020年末，</w:t>
            </w:r>
            <w:r>
              <w:rPr>
                <w:rStyle w:val="6"/>
                <w:rFonts w:hint="eastAsia" w:ascii="宋体" w:hAnsi="宋体"/>
                <w:bCs/>
                <w:iCs/>
                <w:color w:val="000000" w:themeColor="text1"/>
                <w:sz w:val="24"/>
                <w:szCs w:val="22"/>
                <w:lang w:eastAsia="zh-CN"/>
                <w14:textFill>
                  <w14:solidFill>
                    <w14:schemeClr w14:val="tx1"/>
                  </w14:solidFill>
                </w14:textFill>
              </w:rPr>
              <w:t>公司归属上市公司股东的净利润从</w:t>
            </w:r>
            <w:r>
              <w:rPr>
                <w:rStyle w:val="6"/>
                <w:rFonts w:hint="eastAsia" w:ascii="宋体" w:hAnsi="宋体"/>
                <w:bCs/>
                <w:iCs/>
                <w:color w:val="000000" w:themeColor="text1"/>
                <w:sz w:val="24"/>
                <w:szCs w:val="22"/>
                <w:lang w:val="en-US" w:eastAsia="zh-CN"/>
                <w14:textFill>
                  <w14:solidFill>
                    <w14:schemeClr w14:val="tx1"/>
                  </w14:solidFill>
                </w14:textFill>
              </w:rPr>
              <w:t>2014年度的约5700万增长到2020年度的约5.05亿，</w:t>
            </w:r>
            <w:r>
              <w:rPr>
                <w:rStyle w:val="6"/>
                <w:rFonts w:hint="eastAsia" w:ascii="宋体" w:hAnsi="宋体"/>
                <w:bCs/>
                <w:iCs/>
                <w:color w:val="000000" w:themeColor="text1"/>
                <w:sz w:val="24"/>
                <w:szCs w:val="22"/>
                <w:lang w:eastAsia="zh-CN"/>
                <w14:textFill>
                  <w14:solidFill>
                    <w14:schemeClr w14:val="tx1"/>
                  </w14:solidFill>
                </w14:textFill>
              </w:rPr>
              <w:t>已连续六年保持</w:t>
            </w:r>
            <w:r>
              <w:rPr>
                <w:rStyle w:val="6"/>
                <w:rFonts w:hint="eastAsia" w:ascii="宋体" w:hAnsi="宋体"/>
                <w:bCs/>
                <w:iCs/>
                <w:color w:val="000000" w:themeColor="text1"/>
                <w:sz w:val="24"/>
                <w:szCs w:val="22"/>
                <w:lang w:val="en-US" w:eastAsia="zh-CN"/>
                <w14:textFill>
                  <w14:solidFill>
                    <w14:schemeClr w14:val="tx1"/>
                  </w14:solidFill>
                </w14:textFill>
              </w:rPr>
              <w:t>稳健增长。（2020年业绩快报</w:t>
            </w:r>
            <w:r>
              <w:rPr>
                <w:rStyle w:val="6"/>
                <w:rFonts w:hint="eastAsia" w:ascii="宋体" w:hAnsi="宋体"/>
                <w:bCs/>
                <w:iCs/>
                <w:color w:val="000000" w:themeColor="text1"/>
                <w:sz w:val="24"/>
                <w:szCs w:val="22"/>
                <w:lang w:eastAsia="zh-CN"/>
                <w14:textFill>
                  <w14:solidFill>
                    <w14:schemeClr w14:val="tx1"/>
                  </w14:solidFill>
                </w14:textFill>
              </w:rPr>
              <w:t>未经会计师事务所审计</w:t>
            </w:r>
            <w:r>
              <w:rPr>
                <w:rStyle w:val="6"/>
                <w:rFonts w:hint="eastAsia" w:ascii="宋体" w:hAnsi="宋体"/>
                <w:bCs/>
                <w:iCs/>
                <w:color w:val="000000" w:themeColor="text1"/>
                <w:sz w:val="24"/>
                <w:szCs w:val="22"/>
                <w:lang w:val="en-US" w:eastAsia="zh-CN"/>
                <w14:textFill>
                  <w14:solidFill>
                    <w14:schemeClr w14:val="tx1"/>
                  </w14:solidFill>
                </w14:textFill>
              </w:rPr>
              <w:t>）</w:t>
            </w:r>
          </w:p>
          <w:p>
            <w:pPr>
              <w:pStyle w:val="15"/>
              <w:spacing w:line="360" w:lineRule="auto"/>
              <w:ind w:firstLine="480" w:firstLineChars="200"/>
              <w:rPr>
                <w:rFonts w:hint="eastAsia"/>
                <w:color w:val="000000" w:themeColor="text1"/>
                <w:highlight w:val="none"/>
                <w14:textFill>
                  <w14:solidFill>
                    <w14:schemeClr w14:val="tx1"/>
                  </w14:solidFill>
                </w14:textFill>
              </w:rPr>
            </w:pPr>
            <w:r>
              <w:rPr>
                <w:rStyle w:val="6"/>
                <w:rFonts w:hint="eastAsia" w:ascii="宋体" w:hAnsi="宋体"/>
                <w:bCs/>
                <w:iCs/>
                <w:color w:val="000000" w:themeColor="text1"/>
                <w:sz w:val="24"/>
                <w:szCs w:val="22"/>
                <w14:textFill>
                  <w14:solidFill>
                    <w14:schemeClr w14:val="tx1"/>
                  </w14:solidFill>
                </w14:textFill>
              </w:rPr>
              <w:t>公司</w:t>
            </w:r>
            <w:r>
              <w:rPr>
                <w:rStyle w:val="6"/>
                <w:rFonts w:hint="eastAsia" w:ascii="宋体" w:hAnsi="宋体"/>
                <w:bCs/>
                <w:iCs/>
                <w:color w:val="000000" w:themeColor="text1"/>
                <w:sz w:val="24"/>
                <w:szCs w:val="22"/>
                <w:lang w:val="en-US" w:eastAsia="zh-CN"/>
                <w14:textFill>
                  <w14:solidFill>
                    <w14:schemeClr w14:val="tx1"/>
                  </w14:solidFill>
                </w14:textFill>
              </w:rPr>
              <w:t>2020年度利润</w:t>
            </w:r>
            <w:r>
              <w:rPr>
                <w:rStyle w:val="6"/>
                <w:rFonts w:hint="eastAsia" w:ascii="宋体" w:hAnsi="宋体"/>
                <w:bCs/>
                <w:iCs/>
                <w:color w:val="000000" w:themeColor="text1"/>
                <w:sz w:val="24"/>
                <w:szCs w:val="22"/>
                <w14:textFill>
                  <w14:solidFill>
                    <w14:schemeClr w14:val="tx1"/>
                  </w14:solidFill>
                </w14:textFill>
              </w:rPr>
              <w:t>保持</w:t>
            </w:r>
            <w:r>
              <w:rPr>
                <w:rStyle w:val="6"/>
                <w:rFonts w:hint="eastAsia" w:ascii="宋体" w:hAnsi="宋体"/>
                <w:bCs/>
                <w:iCs/>
                <w:color w:val="000000" w:themeColor="text1"/>
                <w:sz w:val="24"/>
                <w:szCs w:val="22"/>
                <w:lang w:eastAsia="zh-CN"/>
                <w14:textFill>
                  <w14:solidFill>
                    <w14:schemeClr w14:val="tx1"/>
                  </w14:solidFill>
                </w14:textFill>
              </w:rPr>
              <w:t>稳健</w:t>
            </w:r>
            <w:r>
              <w:rPr>
                <w:rStyle w:val="6"/>
                <w:rFonts w:hint="eastAsia" w:ascii="宋体" w:hAnsi="宋体"/>
                <w:bCs/>
                <w:iCs/>
                <w:color w:val="000000" w:themeColor="text1"/>
                <w:sz w:val="24"/>
                <w:szCs w:val="22"/>
                <w14:textFill>
                  <w14:solidFill>
                    <w14:schemeClr w14:val="tx1"/>
                  </w14:solidFill>
                </w14:textFill>
              </w:rPr>
              <w:t>增长，</w:t>
            </w:r>
            <w:r>
              <w:rPr>
                <w:rStyle w:val="6"/>
                <w:rFonts w:hint="eastAsia" w:ascii="宋体" w:hAnsi="宋体"/>
                <w:bCs/>
                <w:iCs/>
                <w:color w:val="000000" w:themeColor="text1"/>
                <w:sz w:val="24"/>
                <w:szCs w:val="22"/>
                <w:highlight w:val="none"/>
                <w14:textFill>
                  <w14:solidFill>
                    <w14:schemeClr w14:val="tx1"/>
                  </w14:solidFill>
                </w14:textFill>
              </w:rPr>
              <w:t>主要原因</w:t>
            </w:r>
            <w:r>
              <w:rPr>
                <w:rStyle w:val="6"/>
                <w:rFonts w:hint="eastAsia" w:hAnsi="宋体"/>
                <w:bCs/>
                <w:iCs/>
                <w:color w:val="000000" w:themeColor="text1"/>
                <w:sz w:val="24"/>
                <w:szCs w:val="22"/>
                <w:highlight w:val="none"/>
                <w:lang w:eastAsia="zh-CN"/>
                <w14:textFill>
                  <w14:solidFill>
                    <w14:schemeClr w14:val="tx1"/>
                  </w14:solidFill>
                </w14:textFill>
              </w:rPr>
              <w:t>：（</w:t>
            </w:r>
            <w:r>
              <w:rPr>
                <w:rStyle w:val="6"/>
                <w:rFonts w:hint="eastAsia" w:hAnsi="宋体"/>
                <w:bCs/>
                <w:iCs/>
                <w:color w:val="000000" w:themeColor="text1"/>
                <w:sz w:val="24"/>
                <w:szCs w:val="22"/>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2020年</w:t>
            </w:r>
            <w:r>
              <w:rPr>
                <w:rFonts w:hint="eastAsia"/>
                <w:color w:val="000000" w:themeColor="text1"/>
                <w:highlight w:val="none"/>
                <w14:textFill>
                  <w14:solidFill>
                    <w14:schemeClr w14:val="tx1"/>
                  </w14:solidFill>
                </w14:textFill>
              </w:rPr>
              <w:t>公司原料药板块</w:t>
            </w:r>
            <w:r>
              <w:rPr>
                <w:rFonts w:hint="eastAsia"/>
                <w:color w:val="000000" w:themeColor="text1"/>
                <w:highlight w:val="none"/>
                <w:lang w:eastAsia="zh-CN"/>
                <w14:textFill>
                  <w14:solidFill>
                    <w14:schemeClr w14:val="tx1"/>
                  </w14:solidFill>
                </w14:textFill>
              </w:rPr>
              <w:t>国外市场订单充裕；（</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制剂板块销售逐季改善；（</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意大利子公司</w:t>
            </w:r>
            <w:r>
              <w:rPr>
                <w:rFonts w:hint="eastAsia"/>
                <w:color w:val="000000" w:themeColor="text1"/>
                <w:highlight w:val="none"/>
                <w:lang w:val="en-US" w:eastAsia="zh-CN"/>
                <w14:textFill>
                  <w14:solidFill>
                    <w14:schemeClr w14:val="tx1"/>
                  </w14:solidFill>
                </w14:textFill>
              </w:rPr>
              <w:t>Newchem公司克服疫情初期影响生产逐步恢复正常</w:t>
            </w:r>
            <w:r>
              <w:rPr>
                <w:rFonts w:hint="eastAsia"/>
                <w:color w:val="000000" w:themeColor="text1"/>
                <w:highlight w:val="none"/>
                <w:lang w:eastAsia="zh-CN"/>
                <w14:textFill>
                  <w14:solidFill>
                    <w14:schemeClr w14:val="tx1"/>
                  </w14:solidFill>
                </w14:textFill>
              </w:rPr>
              <w:t>。</w:t>
            </w:r>
          </w:p>
          <w:p>
            <w:pPr>
              <w:pStyle w:val="15"/>
              <w:spacing w:line="360" w:lineRule="auto"/>
              <w:ind w:firstLine="480" w:firstLineChars="200"/>
              <w:rPr>
                <w:rFonts w:hint="eastAsia"/>
                <w:color w:val="000000" w:themeColor="text1"/>
                <w:highlight w:val="none"/>
                <w14:textFill>
                  <w14:solidFill>
                    <w14:schemeClr w14:val="tx1"/>
                  </w14:solidFill>
                </w14:textFill>
              </w:rPr>
            </w:pPr>
          </w:p>
          <w:p>
            <w:pPr>
              <w:numPr>
                <w:ilvl w:val="0"/>
                <w:numId w:val="1"/>
              </w:numPr>
              <w:spacing w:line="360" w:lineRule="auto"/>
              <w:jc w:val="left"/>
              <w:rPr>
                <w:rStyle w:val="6"/>
                <w:rFonts w:ascii="宋体" w:hAnsi="宋体"/>
                <w:b/>
                <w:bCs w:val="0"/>
                <w:color w:val="000000" w:themeColor="text1"/>
                <w:sz w:val="24"/>
                <w14:textFill>
                  <w14:solidFill>
                    <w14:schemeClr w14:val="tx1"/>
                  </w14:solidFill>
                </w14:textFill>
              </w:rPr>
            </w:pPr>
            <w:r>
              <w:rPr>
                <w:rStyle w:val="6"/>
                <w:rFonts w:hint="eastAsia" w:ascii="宋体" w:hAnsi="宋体"/>
                <w:b/>
                <w:bCs w:val="0"/>
                <w:color w:val="000000" w:themeColor="text1"/>
                <w:sz w:val="24"/>
                <w:lang w:eastAsia="zh-CN"/>
                <w14:textFill>
                  <w14:solidFill>
                    <w14:schemeClr w14:val="tx1"/>
                  </w14:solidFill>
                </w14:textFill>
              </w:rPr>
              <w:t>公司近期经营情况及</w:t>
            </w:r>
            <w:r>
              <w:rPr>
                <w:rStyle w:val="6"/>
                <w:rFonts w:hint="eastAsia" w:ascii="宋体" w:hAnsi="宋体"/>
                <w:b/>
                <w:bCs w:val="0"/>
                <w:color w:val="000000" w:themeColor="text1"/>
                <w:sz w:val="24"/>
                <w:lang w:val="en-US" w:eastAsia="zh-CN"/>
                <w14:textFill>
                  <w14:solidFill>
                    <w14:schemeClr w14:val="tx1"/>
                  </w14:solidFill>
                </w14:textFill>
              </w:rPr>
              <w:t>2021年的工作</w:t>
            </w:r>
          </w:p>
          <w:p>
            <w:pPr>
              <w:spacing w:line="480" w:lineRule="atLeast"/>
              <w:rPr>
                <w:rFonts w:hint="eastAsia" w:ascii="宋体" w:hAnsi="Times New Roman" w:eastAsia="宋体" w:cs="宋体"/>
                <w:color w:val="000000" w:themeColor="text1"/>
                <w:kern w:val="0"/>
                <w:sz w:val="24"/>
                <w:szCs w:val="24"/>
                <w:highlight w:val="none"/>
                <w:lang w:val="en-US" w:eastAsia="zh-CN" w:bidi="ar-SA"/>
                <w14:textFill>
                  <w14:solidFill>
                    <w14:schemeClr w14:val="tx1"/>
                  </w14:solidFill>
                </w14:textFill>
              </w:rPr>
            </w:pPr>
            <w:r>
              <w:rPr>
                <w:rStyle w:val="6"/>
                <w:rFonts w:hint="eastAsia" w:ascii="宋体" w:hAnsi="宋体"/>
                <w:bCs/>
                <w:iCs/>
                <w:color w:val="000000" w:themeColor="text1"/>
                <w:sz w:val="24"/>
                <w:szCs w:val="22"/>
                <w:lang w:val="en-US" w:eastAsia="zh-CN"/>
                <w14:textFill>
                  <w14:solidFill>
                    <w14:schemeClr w14:val="tx1"/>
                  </w14:solidFill>
                </w14:textFill>
              </w:rPr>
              <w:t xml:space="preserve">    公司生产经营总体平稳向好。</w:t>
            </w:r>
            <w:r>
              <w:rPr>
                <w:rFonts w:hint="eastAsia" w:ascii="宋体" w:hAnsi="Times New Roman" w:eastAsia="宋体" w:cs="宋体"/>
                <w:color w:val="000000" w:themeColor="text1"/>
                <w:kern w:val="0"/>
                <w:sz w:val="24"/>
                <w:szCs w:val="24"/>
                <w:highlight w:val="none"/>
                <w:lang w:val="en-US" w:eastAsia="zh-CN" w:bidi="ar-SA"/>
                <w14:textFill>
                  <w14:solidFill>
                    <w14:schemeClr w14:val="tx1"/>
                  </w14:solidFill>
                </w14:textFill>
              </w:rPr>
              <w:t>近年来随着环保、安全等政策要求持续的加强。具有规模化、合规的产能也是行业优势和壁垒之一。公司现在的杨府原料药新厂区具有更好生产条件和规模化合规基础。</w:t>
            </w:r>
          </w:p>
          <w:p>
            <w:pPr>
              <w:spacing w:line="480" w:lineRule="atLeast"/>
              <w:ind w:firstLine="480" w:firstLineChars="200"/>
              <w:rPr>
                <w:rStyle w:val="6"/>
                <w:rFonts w:hint="eastAsia"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Cs/>
                <w:iCs/>
                <w:color w:val="000000" w:themeColor="text1"/>
                <w:sz w:val="24"/>
                <w:szCs w:val="22"/>
                <w:lang w:val="en-US" w:eastAsia="zh-CN"/>
                <w14:textFill>
                  <w14:solidFill>
                    <w14:schemeClr w14:val="tx1"/>
                  </w14:solidFill>
                </w14:textFill>
              </w:rPr>
              <w:t>生产方面，公司原料药新厂区2020年完成了30个批文产品的生产场地转移，客户审计工作有序开展，部分产品获得COPP证书，确保印度等区域的注册产品的销售。2021年杨府原料药厂区将继续优化固化工艺，逐步形成稳定持续高效产能。台州仙琚将重点关注优化反应步骤，在生产线上有效落地新工艺新设备，提高生产效能。制剂事业部将以FDA标准作为检验能力提升的标准，衔接产品生产、一致性评价产品和在研产品的高效生产运行，争取成为承接MAH机制下的高品质供应商。</w:t>
            </w:r>
          </w:p>
          <w:p>
            <w:pPr>
              <w:spacing w:line="480" w:lineRule="atLeast"/>
              <w:ind w:firstLine="480" w:firstLineChars="200"/>
              <w:rPr>
                <w:rStyle w:val="6"/>
                <w:rFonts w:hint="default"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Cs/>
                <w:iCs/>
                <w:color w:val="000000" w:themeColor="text1"/>
                <w:sz w:val="24"/>
                <w:szCs w:val="22"/>
                <w:lang w:val="en-US" w:eastAsia="zh-CN"/>
                <w14:textFill>
                  <w14:solidFill>
                    <w14:schemeClr w14:val="tx1"/>
                  </w14:solidFill>
                </w14:textFill>
              </w:rPr>
              <w:t>制剂销售方面，随着国内疫情有效管控，大部分临床科室及门诊趋于正常，制剂销售情况改善明显。原料药销售方面，国内市场以制剂产品一致性评价和原料药关联审评为抓手，了解客户需求，努力成为国内甾体激素领域的高质量API供应商。国际市场将继续加大高端市场开拓力度，争取更多产品和项目合作，对公司尚未有效覆盖的市场扩大销售拜访力度。继续发挥同NEWCHEM的销售、生产协同效应，承接部分产品的进口注册工作，对接产品要在生产线上形成生产。</w:t>
            </w:r>
          </w:p>
          <w:p>
            <w:pPr>
              <w:pStyle w:val="15"/>
              <w:spacing w:line="360" w:lineRule="auto"/>
              <w:ind w:firstLine="480" w:firstLineChars="200"/>
              <w:rPr>
                <w:rFonts w:hint="eastAsia"/>
                <w:color w:val="000000" w:themeColor="text1"/>
                <w:highlight w:val="none"/>
                <w14:textFill>
                  <w14:solidFill>
                    <w14:schemeClr w14:val="tx1"/>
                  </w14:solidFill>
                </w14:textFill>
              </w:rPr>
            </w:pPr>
          </w:p>
          <w:p>
            <w:pPr>
              <w:numPr>
                <w:ilvl w:val="0"/>
                <w:numId w:val="1"/>
              </w:numPr>
              <w:spacing w:line="360" w:lineRule="auto"/>
              <w:jc w:val="left"/>
              <w:rPr>
                <w:rStyle w:val="6"/>
                <w:rFonts w:hint="default" w:ascii="宋体" w:hAnsi="宋体"/>
                <w:b/>
                <w:bCs w:val="0"/>
                <w:sz w:val="24"/>
                <w:szCs w:val="22"/>
                <w:highlight w:val="none"/>
                <w:lang w:val="en-US" w:eastAsia="zh-CN"/>
              </w:rPr>
            </w:pPr>
            <w:r>
              <w:rPr>
                <w:rStyle w:val="6"/>
                <w:rFonts w:hint="eastAsia" w:ascii="宋体" w:hAnsi="宋体"/>
                <w:b/>
                <w:bCs w:val="0"/>
                <w:sz w:val="24"/>
                <w:szCs w:val="22"/>
                <w:highlight w:val="none"/>
                <w:lang w:val="en-US" w:eastAsia="zh-CN"/>
              </w:rPr>
              <w:t>甾体原料药的全球行业格局及变化情况</w:t>
            </w:r>
          </w:p>
          <w:p>
            <w:pPr>
              <w:numPr>
                <w:ilvl w:val="0"/>
                <w:numId w:val="0"/>
              </w:numPr>
              <w:spacing w:line="360" w:lineRule="auto"/>
              <w:ind w:firstLine="480" w:firstLineChars="200"/>
              <w:jc w:val="left"/>
              <w:rPr>
                <w:rStyle w:val="6"/>
                <w:rFonts w:hint="default" w:ascii="宋体" w:hAnsi="宋体"/>
                <w:b w:val="0"/>
                <w:bCs/>
                <w:sz w:val="24"/>
                <w:szCs w:val="22"/>
                <w:highlight w:val="none"/>
                <w:lang w:val="en-US" w:eastAsia="zh-CN"/>
              </w:rPr>
            </w:pPr>
            <w:r>
              <w:rPr>
                <w:rStyle w:val="6"/>
                <w:rFonts w:hint="eastAsia" w:ascii="宋体" w:hAnsi="宋体"/>
                <w:b w:val="0"/>
                <w:bCs/>
                <w:sz w:val="24"/>
                <w:szCs w:val="22"/>
                <w:highlight w:val="none"/>
                <w:lang w:val="en-US" w:eastAsia="zh-CN"/>
              </w:rPr>
              <w:t>全球范围内的甾体药物的市场容量大，厂家主要集中在大型跨国制药公司，例如GSK、阿斯利康、勃林格殷格翰、辉瑞、拜耳、默克、赛诺菲-安万特、TEVA、迈兰等公司，每家公司也各具特点，分别在呼吸科、雌激素补充、短效避孕药、皮质激素制剂等某类治疗领域独具特色。</w:t>
            </w:r>
          </w:p>
          <w:p>
            <w:pPr>
              <w:spacing w:line="480" w:lineRule="atLeast"/>
              <w:ind w:firstLine="480" w:firstLineChars="200"/>
              <w:rPr>
                <w:rStyle w:val="6"/>
                <w:rFonts w:hint="eastAsia" w:ascii="宋体" w:hAnsi="宋体"/>
                <w:b w:val="0"/>
                <w:bCs/>
                <w:sz w:val="24"/>
                <w:szCs w:val="22"/>
                <w:highlight w:val="none"/>
                <w:lang w:val="en-US" w:eastAsia="zh-CN"/>
              </w:rPr>
            </w:pPr>
            <w:r>
              <w:rPr>
                <w:rStyle w:val="6"/>
                <w:rFonts w:hint="eastAsia" w:ascii="宋体" w:hAnsi="宋体"/>
                <w:b w:val="0"/>
                <w:bCs/>
                <w:sz w:val="24"/>
                <w:szCs w:val="22"/>
                <w:highlight w:val="none"/>
                <w:lang w:val="en-US" w:eastAsia="zh-CN"/>
              </w:rPr>
              <w:t>仙琚制药依托现有杨府原料药新厂区在皮质激素系列、性激素系列、孕激素系列、非激素系列四个系列中目前均具备良好的产品、产能和技术基础；意大利Newchem厂区主要发展激素高端衍生物。</w:t>
            </w:r>
          </w:p>
          <w:p>
            <w:pPr>
              <w:spacing w:line="480" w:lineRule="atLeast"/>
              <w:ind w:firstLine="480" w:firstLineChars="200"/>
              <w:rPr>
                <w:rStyle w:val="6"/>
                <w:rFonts w:hint="eastAsia" w:ascii="宋体" w:hAnsi="宋体"/>
                <w:b w:val="0"/>
                <w:bCs/>
                <w:sz w:val="24"/>
                <w:szCs w:val="22"/>
                <w:lang w:val="en-US" w:eastAsia="zh-CN"/>
              </w:rPr>
            </w:pPr>
          </w:p>
          <w:p>
            <w:pPr>
              <w:numPr>
                <w:ilvl w:val="0"/>
                <w:numId w:val="1"/>
              </w:numPr>
              <w:spacing w:line="480" w:lineRule="atLeast"/>
              <w:ind w:left="0" w:leftChars="0" w:firstLine="0" w:firstLineChars="0"/>
              <w:rPr>
                <w:rStyle w:val="6"/>
                <w:rFonts w:hint="eastAsia" w:ascii="宋体" w:hAnsi="宋体"/>
                <w:b/>
                <w:bCs w:val="0"/>
                <w:iCs/>
                <w:color w:val="000000" w:themeColor="text1"/>
                <w:sz w:val="24"/>
                <w:szCs w:val="22"/>
                <w:lang w:val="en-US" w:eastAsia="zh-CN"/>
                <w14:textFill>
                  <w14:solidFill>
                    <w14:schemeClr w14:val="tx1"/>
                  </w14:solidFill>
                </w14:textFill>
              </w:rPr>
            </w:pPr>
            <w:r>
              <w:rPr>
                <w:rStyle w:val="6"/>
                <w:rFonts w:hint="eastAsia" w:ascii="宋体" w:hAnsi="宋体"/>
                <w:b/>
                <w:bCs w:val="0"/>
                <w:iCs/>
                <w:color w:val="000000" w:themeColor="text1"/>
                <w:sz w:val="24"/>
                <w:szCs w:val="22"/>
                <w:lang w:val="en-US" w:eastAsia="zh-CN"/>
                <w14:textFill>
                  <w14:solidFill>
                    <w14:schemeClr w14:val="tx1"/>
                  </w14:solidFill>
                </w14:textFill>
              </w:rPr>
              <w:t>公司研发情况</w:t>
            </w:r>
          </w:p>
          <w:p>
            <w:pPr>
              <w:numPr>
                <w:ilvl w:val="0"/>
                <w:numId w:val="0"/>
              </w:numPr>
              <w:spacing w:line="480" w:lineRule="atLeast"/>
              <w:ind w:firstLine="480"/>
              <w:jc w:val="both"/>
              <w:textAlignment w:val="baseline"/>
              <w:rPr>
                <w:rFonts w:hint="eastAsia" w:asciiTheme="minorEastAsia" w:hAnsiTheme="minorEastAsia" w:eastAsiaTheme="minorEastAsia"/>
                <w:sz w:val="24"/>
                <w:highlight w:val="yellow"/>
                <w:lang w:eastAsia="zh-CN"/>
              </w:rPr>
            </w:pPr>
            <w:r>
              <w:rPr>
                <w:rFonts w:asciiTheme="minorEastAsia" w:hAnsiTheme="minorEastAsia" w:eastAsiaTheme="minorEastAsia"/>
                <w:sz w:val="24"/>
              </w:rPr>
              <w:t>公司</w:t>
            </w:r>
            <w:r>
              <w:rPr>
                <w:rFonts w:hint="eastAsia" w:asciiTheme="minorEastAsia" w:hAnsiTheme="minorEastAsia" w:eastAsiaTheme="minorEastAsia"/>
                <w:sz w:val="24"/>
                <w:lang w:eastAsia="zh-CN"/>
              </w:rPr>
              <w:t>近年来</w:t>
            </w:r>
            <w:r>
              <w:rPr>
                <w:rFonts w:asciiTheme="minorEastAsia" w:hAnsiTheme="minorEastAsia" w:eastAsiaTheme="minorEastAsia"/>
                <w:sz w:val="24"/>
              </w:rPr>
              <w:t>对研发的重视程度</w:t>
            </w:r>
            <w:r>
              <w:rPr>
                <w:rFonts w:hint="eastAsia" w:asciiTheme="minorEastAsia" w:hAnsiTheme="minorEastAsia" w:eastAsiaTheme="minorEastAsia"/>
                <w:sz w:val="24"/>
              </w:rPr>
              <w:t>、</w:t>
            </w:r>
            <w:r>
              <w:rPr>
                <w:rFonts w:asciiTheme="minorEastAsia" w:hAnsiTheme="minorEastAsia" w:eastAsiaTheme="minorEastAsia"/>
                <w:sz w:val="24"/>
              </w:rPr>
              <w:t>投入程度不断</w:t>
            </w:r>
            <w:r>
              <w:rPr>
                <w:rFonts w:hint="eastAsia" w:asciiTheme="minorEastAsia" w:hAnsiTheme="minorEastAsia" w:eastAsiaTheme="minorEastAsia"/>
                <w:sz w:val="24"/>
              </w:rPr>
              <w:t>加大，</w:t>
            </w:r>
            <w:r>
              <w:rPr>
                <w:rFonts w:asciiTheme="minorEastAsia" w:hAnsiTheme="minorEastAsia" w:eastAsiaTheme="minorEastAsia"/>
                <w:sz w:val="24"/>
              </w:rPr>
              <w:t>未来</w:t>
            </w:r>
            <w:r>
              <w:rPr>
                <w:rFonts w:hint="eastAsia" w:asciiTheme="minorEastAsia" w:hAnsiTheme="minorEastAsia" w:eastAsiaTheme="minorEastAsia"/>
                <w:sz w:val="24"/>
                <w:lang w:eastAsia="zh-CN"/>
              </w:rPr>
              <w:t>几</w:t>
            </w:r>
            <w:r>
              <w:rPr>
                <w:rFonts w:asciiTheme="minorEastAsia" w:hAnsiTheme="minorEastAsia" w:eastAsiaTheme="minorEastAsia"/>
                <w:sz w:val="24"/>
              </w:rPr>
              <w:t>年</w:t>
            </w:r>
            <w:r>
              <w:rPr>
                <w:rFonts w:hint="eastAsia" w:asciiTheme="minorEastAsia" w:hAnsiTheme="minorEastAsia" w:eastAsiaTheme="minorEastAsia"/>
                <w:sz w:val="24"/>
              </w:rPr>
              <w:t>公司</w:t>
            </w:r>
            <w:r>
              <w:rPr>
                <w:rFonts w:asciiTheme="minorEastAsia" w:hAnsiTheme="minorEastAsia" w:eastAsiaTheme="minorEastAsia"/>
                <w:sz w:val="24"/>
              </w:rPr>
              <w:t>还</w:t>
            </w:r>
            <w:r>
              <w:rPr>
                <w:rFonts w:hint="eastAsia" w:asciiTheme="minorEastAsia" w:hAnsiTheme="minorEastAsia" w:eastAsiaTheme="minorEastAsia"/>
                <w:sz w:val="24"/>
              </w:rPr>
              <w:t>将</w:t>
            </w:r>
            <w:r>
              <w:rPr>
                <w:rFonts w:asciiTheme="minorEastAsia" w:hAnsiTheme="minorEastAsia" w:eastAsiaTheme="minorEastAsia"/>
                <w:sz w:val="24"/>
              </w:rPr>
              <w:t>紧紧围绕</w:t>
            </w:r>
            <w:r>
              <w:rPr>
                <w:rFonts w:hint="eastAsia" w:asciiTheme="minorEastAsia" w:hAnsiTheme="minorEastAsia" w:eastAsiaTheme="minorEastAsia"/>
                <w:sz w:val="24"/>
              </w:rPr>
              <w:t>皮质激素类、性激素类、麻醉与肌松类、呼吸科类四大治疗</w:t>
            </w:r>
            <w:r>
              <w:rPr>
                <w:rFonts w:asciiTheme="minorEastAsia" w:hAnsiTheme="minorEastAsia" w:eastAsiaTheme="minorEastAsia"/>
                <w:sz w:val="24"/>
              </w:rPr>
              <w:t>领域</w:t>
            </w:r>
            <w:r>
              <w:rPr>
                <w:rFonts w:hint="eastAsia" w:asciiTheme="minorEastAsia" w:hAnsiTheme="minorEastAsia" w:eastAsiaTheme="minorEastAsia"/>
                <w:sz w:val="24"/>
              </w:rPr>
              <w:t>开展后续研发</w:t>
            </w:r>
            <w:r>
              <w:rPr>
                <w:rFonts w:hint="eastAsia" w:asciiTheme="minorEastAsia" w:hAnsiTheme="minorEastAsia" w:eastAsiaTheme="minorEastAsia"/>
                <w:sz w:val="24"/>
                <w:lang w:eastAsia="zh-CN"/>
              </w:rPr>
              <w:t>管线布局</w:t>
            </w:r>
            <w:r>
              <w:rPr>
                <w:rFonts w:asciiTheme="minorEastAsia" w:hAnsiTheme="minorEastAsia" w:eastAsiaTheme="minorEastAsia"/>
                <w:sz w:val="24"/>
              </w:rPr>
              <w:t>。</w:t>
            </w:r>
            <w:r>
              <w:rPr>
                <w:rFonts w:hint="eastAsia" w:asciiTheme="minorEastAsia" w:hAnsiTheme="minorEastAsia" w:eastAsiaTheme="minorEastAsia"/>
                <w:sz w:val="24"/>
              </w:rPr>
              <w:t>在现有产品的基础上，填平补齐，做精做全，更新迭代，进行衍生和提升。</w:t>
            </w:r>
          </w:p>
          <w:p>
            <w:pPr>
              <w:numPr>
                <w:ilvl w:val="0"/>
                <w:numId w:val="0"/>
              </w:numPr>
              <w:spacing w:line="480" w:lineRule="atLeast"/>
              <w:ind w:firstLine="480"/>
              <w:jc w:val="both"/>
              <w:textAlignment w:val="baseline"/>
              <w:rPr>
                <w:rStyle w:val="6"/>
                <w:rFonts w:hint="eastAsia"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Cs/>
                <w:iCs/>
                <w:color w:val="000000" w:themeColor="text1"/>
                <w:sz w:val="24"/>
                <w:szCs w:val="22"/>
                <w:lang w:val="en-US" w:eastAsia="zh-CN"/>
                <w14:textFill>
                  <w14:solidFill>
                    <w14:schemeClr w14:val="tx1"/>
                  </w14:solidFill>
                </w14:textFill>
              </w:rPr>
              <w:t>公司拥有仙居、杭州两个制剂研究基地，具备常规固体制剂及注射剂、半固体制剂、吸入制剂等剂型平台研发能力。</w:t>
            </w:r>
          </w:p>
          <w:p>
            <w:pPr>
              <w:numPr>
                <w:ilvl w:val="0"/>
                <w:numId w:val="0"/>
              </w:numPr>
              <w:spacing w:line="480" w:lineRule="atLeast"/>
              <w:jc w:val="both"/>
              <w:textAlignment w:val="baseline"/>
              <w:rPr>
                <w:rStyle w:val="6"/>
                <w:rFonts w:hint="eastAsia"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Cs/>
                <w:iCs/>
                <w:color w:val="000000" w:themeColor="text1"/>
                <w:sz w:val="24"/>
                <w:szCs w:val="22"/>
                <w:lang w:val="en-US" w:eastAsia="zh-CN"/>
                <w14:textFill>
                  <w14:solidFill>
                    <w14:schemeClr w14:val="tx1"/>
                  </w14:solidFill>
                </w14:textFill>
              </w:rPr>
              <w:t xml:space="preserve">    前期的研发工作取得阶段性的进展，目前已完成7个品种的一致性评价产品上报，其中罗库溴铵注射液、米索前列醇片已获得批准，其中罗库溴铵注射液为国内首家通过一致性评价；目前还有约15个品种的一致性评价按预定计划推进。已完成4个仿制药新产品的研发申报（舒更葡糖钠注射液、甲泼尼龙片、苯磺顺阿曲库铵注射液、戊酸雌二醇片），还有约16个仿制药在研项目在有序推进。主要在研产品以市场空间和公司机会为切入点，对标竞争格局良好的原研产品管线。</w:t>
            </w:r>
          </w:p>
          <w:p>
            <w:pPr>
              <w:numPr>
                <w:ilvl w:val="0"/>
                <w:numId w:val="0"/>
              </w:numPr>
              <w:spacing w:line="480" w:lineRule="atLeast"/>
              <w:ind w:firstLine="480"/>
              <w:jc w:val="both"/>
              <w:textAlignment w:val="baseline"/>
              <w:rPr>
                <w:rStyle w:val="6"/>
                <w:rFonts w:hint="eastAsia" w:ascii="宋体" w:hAnsi="宋体"/>
                <w:bCs/>
                <w:iCs/>
                <w:color w:val="000000" w:themeColor="text1"/>
                <w:sz w:val="24"/>
                <w:szCs w:val="22"/>
                <w:highlight w:val="none"/>
                <w:lang w:val="en-US" w:eastAsia="zh-CN"/>
                <w14:textFill>
                  <w14:solidFill>
                    <w14:schemeClr w14:val="tx1"/>
                  </w14:solidFill>
                </w14:textFill>
              </w:rPr>
            </w:pPr>
            <w:r>
              <w:rPr>
                <w:rStyle w:val="6"/>
                <w:rFonts w:hint="eastAsia" w:ascii="宋体" w:hAnsi="宋体"/>
                <w:bCs/>
                <w:iCs/>
                <w:color w:val="000000" w:themeColor="text1"/>
                <w:sz w:val="24"/>
                <w:szCs w:val="22"/>
                <w:highlight w:val="none"/>
                <w:lang w:val="en-US" w:eastAsia="zh-CN"/>
                <w14:textFill>
                  <w14:solidFill>
                    <w14:schemeClr w14:val="tx1"/>
                  </w14:solidFill>
                </w14:textFill>
              </w:rPr>
              <w:t>国内随着一致性评价，原料药制剂关联审评，拥有更高品质、更充分的质量研究、能提供技术文件包等增值服务的原料药将逐渐成为下游客户的重要选择因素。</w:t>
            </w:r>
          </w:p>
          <w:p>
            <w:pPr>
              <w:numPr>
                <w:ilvl w:val="0"/>
                <w:numId w:val="0"/>
              </w:numPr>
              <w:spacing w:line="480" w:lineRule="atLeast"/>
              <w:ind w:firstLine="480"/>
              <w:jc w:val="both"/>
              <w:textAlignment w:val="baseline"/>
              <w:rPr>
                <w:rStyle w:val="6"/>
                <w:rFonts w:hint="eastAsia" w:ascii="宋体" w:hAnsi="宋体"/>
                <w:bCs/>
                <w:iCs/>
                <w:color w:val="000000" w:themeColor="text1"/>
                <w:sz w:val="24"/>
                <w:szCs w:val="22"/>
                <w:lang w:val="en-US" w:eastAsia="zh-CN"/>
                <w14:textFill>
                  <w14:solidFill>
                    <w14:schemeClr w14:val="tx1"/>
                  </w14:solidFill>
                </w14:textFill>
              </w:rPr>
            </w:pPr>
          </w:p>
          <w:p>
            <w:pPr>
              <w:numPr>
                <w:ilvl w:val="0"/>
                <w:numId w:val="1"/>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国家集中带量采购政策对公司的影响</w:t>
            </w:r>
          </w:p>
          <w:p>
            <w:pPr>
              <w:spacing w:line="480" w:lineRule="atLeast"/>
              <w:ind w:firstLine="480" w:firstLineChars="200"/>
              <w:rPr>
                <w:rStyle w:val="6"/>
                <w:rFonts w:hint="eastAsia" w:ascii="宋体" w:hAnsi="宋体"/>
                <w:bCs/>
                <w:i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目前，公司产品尚未列入前四次的国家药品集中带量采购序列。公司是原料药和制剂一体化企业，制剂产品以专科用药为主，拥有妇科计生、麻醉肌松、呼吸、皮肤、普药等众多产品群。随着</w:t>
            </w:r>
            <w:r>
              <w:rPr>
                <w:rStyle w:val="6"/>
                <w:rFonts w:hint="eastAsia" w:ascii="宋体" w:hAnsi="宋体"/>
                <w:bCs/>
                <w:iCs/>
                <w:color w:val="000000" w:themeColor="text1"/>
                <w:sz w:val="24"/>
                <w:szCs w:val="22"/>
                <w:lang w:val="en-US" w:eastAsia="zh-CN"/>
                <w14:textFill>
                  <w14:solidFill>
                    <w14:schemeClr w14:val="tx1"/>
                  </w14:solidFill>
                </w14:textFill>
              </w:rPr>
              <w:t>“带量采购”政策在全国范围内的加快实施，公司将结合产品特点，抓住集采扩容和准入机会，快速应对市场变化，提高市场突破能力。</w:t>
            </w:r>
          </w:p>
          <w:p>
            <w:pPr>
              <w:numPr>
                <w:ilvl w:val="0"/>
                <w:numId w:val="0"/>
              </w:numPr>
              <w:spacing w:line="360" w:lineRule="auto"/>
              <w:ind w:firstLine="481"/>
              <w:jc w:val="left"/>
              <w:rPr>
                <w:rStyle w:val="6"/>
                <w:rFonts w:hint="default" w:ascii="宋体" w:hAnsi="宋体"/>
                <w:b w:val="0"/>
                <w:bCs/>
                <w:color w:val="000000" w:themeColor="text1"/>
                <w:sz w:val="24"/>
                <w:szCs w:val="22"/>
                <w:lang w:val="en-US" w:eastAsia="zh-CN"/>
                <w14:textFill>
                  <w14:solidFill>
                    <w14:schemeClr w14:val="tx1"/>
                  </w14:solidFill>
                </w14:textFill>
              </w:rPr>
            </w:pPr>
          </w:p>
          <w:p>
            <w:pPr>
              <w:numPr>
                <w:ilvl w:val="0"/>
                <w:numId w:val="1"/>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公司中长期战略定位</w:t>
            </w:r>
          </w:p>
          <w:p>
            <w:pPr>
              <w:spacing w:line="480" w:lineRule="atLeast"/>
              <w:ind w:firstLine="480" w:firstLineChars="200"/>
              <w:rPr>
                <w:rStyle w:val="6"/>
                <w:rFonts w:hint="eastAsia" w:ascii="宋体" w:hAnsi="宋体"/>
                <w:bCs/>
                <w:iCs/>
                <w:color w:val="000000" w:themeColor="text1"/>
                <w:sz w:val="24"/>
                <w:szCs w:val="22"/>
                <w14:textFill>
                  <w14:solidFill>
                    <w14:schemeClr w14:val="tx1"/>
                  </w14:solidFill>
                </w14:textFill>
              </w:rPr>
            </w:pPr>
            <w:r>
              <w:rPr>
                <w:rStyle w:val="6"/>
                <w:rFonts w:hint="eastAsia" w:ascii="宋体" w:hAnsi="宋体"/>
                <w:bCs/>
                <w:iCs/>
                <w:color w:val="000000" w:themeColor="text1"/>
                <w:sz w:val="24"/>
                <w:szCs w:val="22"/>
                <w14:textFill>
                  <w14:solidFill>
                    <w14:schemeClr w14:val="tx1"/>
                  </w14:solidFill>
                </w14:textFill>
              </w:rPr>
              <w:t>公司</w:t>
            </w:r>
            <w:r>
              <w:rPr>
                <w:rStyle w:val="6"/>
                <w:rFonts w:hint="eastAsia" w:ascii="宋体" w:hAnsi="宋体"/>
                <w:bCs/>
                <w:iCs/>
                <w:color w:val="000000" w:themeColor="text1"/>
                <w:sz w:val="24"/>
                <w:szCs w:val="22"/>
                <w:lang w:eastAsia="zh-CN"/>
                <w14:textFill>
                  <w14:solidFill>
                    <w14:schemeClr w14:val="tx1"/>
                  </w14:solidFill>
                </w14:textFill>
              </w:rPr>
              <w:t>将长期</w:t>
            </w:r>
            <w:r>
              <w:rPr>
                <w:rStyle w:val="6"/>
                <w:rFonts w:hint="eastAsia" w:ascii="宋体" w:hAnsi="宋体"/>
                <w:bCs/>
                <w:iCs/>
                <w:color w:val="000000" w:themeColor="text1"/>
                <w:sz w:val="24"/>
                <w:szCs w:val="22"/>
                <w14:textFill>
                  <w14:solidFill>
                    <w14:schemeClr w14:val="tx1"/>
                  </w14:solidFill>
                </w14:textFill>
              </w:rPr>
              <w:t>聚焦甾体激素领域，</w:t>
            </w:r>
            <w:r>
              <w:rPr>
                <w:rStyle w:val="6"/>
                <w:rFonts w:hint="eastAsia" w:ascii="宋体" w:hAnsi="宋体"/>
                <w:bCs/>
                <w:iCs/>
                <w:color w:val="000000" w:themeColor="text1"/>
                <w:sz w:val="24"/>
                <w:szCs w:val="22"/>
                <w:lang w:eastAsia="zh-CN"/>
                <w14:textFill>
                  <w14:solidFill>
                    <w14:schemeClr w14:val="tx1"/>
                  </w14:solidFill>
                </w14:textFill>
              </w:rPr>
              <w:t>做全、做精激素产业链、不断丰富原料药及制剂产品结构，专注于综合能力提升</w:t>
            </w:r>
            <w:r>
              <w:rPr>
                <w:rStyle w:val="6"/>
                <w:rFonts w:hint="eastAsia" w:ascii="宋体" w:hAnsi="宋体"/>
                <w:bCs/>
                <w:iCs/>
                <w:color w:val="000000" w:themeColor="text1"/>
                <w:sz w:val="24"/>
                <w:szCs w:val="22"/>
                <w14:textFill>
                  <w14:solidFill>
                    <w14:schemeClr w14:val="tx1"/>
                  </w14:solidFill>
                </w14:textFill>
              </w:rPr>
              <w:t>。</w:t>
            </w:r>
          </w:p>
          <w:p>
            <w:pPr>
              <w:spacing w:line="480" w:lineRule="atLeast"/>
              <w:ind w:firstLine="480" w:firstLineChars="200"/>
              <w:rPr>
                <w:rStyle w:val="6"/>
                <w:rFonts w:hint="eastAsia" w:ascii="宋体" w:hAnsi="宋体"/>
                <w:bCs/>
                <w:iCs/>
                <w:color w:val="000000" w:themeColor="text1"/>
                <w:sz w:val="24"/>
                <w:szCs w:val="22"/>
                <w:lang w:eastAsia="zh-CN"/>
                <w14:textFill>
                  <w14:solidFill>
                    <w14:schemeClr w14:val="tx1"/>
                  </w14:solidFill>
                </w14:textFill>
              </w:rPr>
            </w:pPr>
            <w:r>
              <w:rPr>
                <w:rStyle w:val="6"/>
                <w:rFonts w:hint="eastAsia" w:ascii="宋体" w:hAnsi="宋体"/>
                <w:bCs/>
                <w:iCs/>
                <w:color w:val="000000" w:themeColor="text1"/>
                <w:sz w:val="24"/>
                <w:szCs w:val="22"/>
                <w:lang w:eastAsia="zh-CN"/>
                <w14:textFill>
                  <w14:solidFill>
                    <w14:schemeClr w14:val="tx1"/>
                  </w14:solidFill>
                </w14:textFill>
              </w:rPr>
              <w:t>甾体激素行业的发展不仅在于产能，更在于产品的价值，产品在规范市场和非规范市场所体现的价值是不同的，因此，公司将更加重视核心品种的研发进度；关注外围环境，比如FDA的认证问题。只有通过相关认证，产品才具备从非规范市场到达规范市场的可能，才具备价值提升的基础。</w:t>
            </w:r>
          </w:p>
          <w:p>
            <w:pPr>
              <w:numPr>
                <w:ilvl w:val="0"/>
                <w:numId w:val="0"/>
              </w:numPr>
              <w:spacing w:line="360" w:lineRule="auto"/>
              <w:ind w:firstLine="480" w:firstLineChars="200"/>
              <w:jc w:val="left"/>
              <w:rPr>
                <w:rStyle w:val="6"/>
                <w:rFonts w:hint="eastAsia" w:ascii="宋体" w:hAnsi="宋体" w:eastAsia="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原料药是公司的根基和优势之一，甾体激素原料药具有高致敏性，对制造工艺、生产环境要求高；工艺过程复杂，兼具发酵和合成工艺。公司将继续做精做全甾体类高端原料药产品，努力成为全球甾体激素的优秀API供应商。</w:t>
            </w:r>
          </w:p>
          <w:p>
            <w:pPr>
              <w:numPr>
                <w:ilvl w:val="0"/>
                <w:numId w:val="0"/>
              </w:num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制剂产品具有多品种小批量，技术门槛高，激素类专线生产等特点，通过近几年技术积累和沉淀，公司力争在无菌混悬、吸入制剂等复杂制剂领域实现研发跨越。</w:t>
            </w:r>
          </w:p>
          <w:p>
            <w:pPr>
              <w:numPr>
                <w:ilvl w:val="0"/>
                <w:numId w:val="0"/>
              </w:num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p>
          <w:p>
            <w:pPr>
              <w:numPr>
                <w:ilvl w:val="0"/>
                <w:numId w:val="1"/>
              </w:numPr>
              <w:spacing w:line="360" w:lineRule="auto"/>
              <w:jc w:val="left"/>
              <w:rPr>
                <w:rStyle w:val="6"/>
                <w:rFonts w:hint="eastAsia" w:ascii="宋体" w:hAnsi="宋体"/>
                <w:b/>
                <w:bCs w:val="0"/>
                <w:color w:val="000000" w:themeColor="text1"/>
                <w:sz w:val="24"/>
                <w:szCs w:val="22"/>
                <w:lang w:val="en-US" w:eastAsia="zh-CN"/>
                <w14:textFill>
                  <w14:solidFill>
                    <w14:schemeClr w14:val="tx1"/>
                  </w14:solidFill>
                </w14:textFill>
              </w:rPr>
            </w:pPr>
            <w:r>
              <w:rPr>
                <w:rStyle w:val="6"/>
                <w:rFonts w:hint="eastAsia" w:ascii="宋体" w:hAnsi="宋体"/>
                <w:b/>
                <w:bCs w:val="0"/>
                <w:color w:val="000000" w:themeColor="text1"/>
                <w:sz w:val="24"/>
                <w:szCs w:val="22"/>
                <w:lang w:val="en-US" w:eastAsia="zh-CN"/>
                <w14:textFill>
                  <w14:solidFill>
                    <w14:schemeClr w14:val="tx1"/>
                  </w14:solidFill>
                </w14:textFill>
              </w:rPr>
              <w:t>原料药新厂区情况介绍</w:t>
            </w:r>
          </w:p>
          <w:p>
            <w:pPr>
              <w:numPr>
                <w:ilvl w:val="0"/>
                <w:numId w:val="0"/>
              </w:num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公司原料药新厂区围绕皮质激素类、孕激素类、性激素类、非激素类的几大品类原料药品种来做。仙琚原料药朝着小、精、特、专方向发展。</w:t>
            </w:r>
          </w:p>
          <w:p>
            <w:pPr>
              <w:numPr>
                <w:ilvl w:val="0"/>
                <w:numId w:val="0"/>
              </w:numPr>
              <w:spacing w:line="360" w:lineRule="auto"/>
              <w:ind w:firstLine="480" w:firstLineChars="200"/>
              <w:jc w:val="left"/>
              <w:rPr>
                <w:rStyle w:val="6"/>
                <w:rFonts w:hint="eastAsia" w:ascii="宋体" w:hAnsi="宋体"/>
                <w:b w:val="0"/>
                <w:bCs/>
                <w:color w:val="000000" w:themeColor="text1"/>
                <w:sz w:val="24"/>
                <w:szCs w:val="22"/>
                <w:lang w:val="en-US" w:eastAsia="zh-CN"/>
                <w14:textFill>
                  <w14:solidFill>
                    <w14:schemeClr w14:val="tx1"/>
                  </w14:solidFill>
                </w14:textFill>
              </w:rPr>
            </w:pPr>
            <w:r>
              <w:rPr>
                <w:rStyle w:val="6"/>
                <w:rFonts w:hint="eastAsia" w:ascii="宋体" w:hAnsi="宋体"/>
                <w:b w:val="0"/>
                <w:bCs/>
                <w:color w:val="000000" w:themeColor="text1"/>
                <w:sz w:val="24"/>
                <w:szCs w:val="22"/>
                <w:lang w:val="en-US" w:eastAsia="zh-CN"/>
                <w14:textFill>
                  <w14:solidFill>
                    <w14:schemeClr w14:val="tx1"/>
                  </w14:solidFill>
                </w14:textFill>
              </w:rPr>
              <w:t>去年公司的主要任务是完成30个原料药品种从老厂区搬到新厂区，今年的核心任务是熟悉新工</w:t>
            </w:r>
            <w:r>
              <w:rPr>
                <w:rStyle w:val="6"/>
                <w:rFonts w:hint="eastAsia" w:ascii="宋体" w:hAnsi="宋体"/>
                <w:b w:val="0"/>
                <w:bCs/>
                <w:color w:val="000000" w:themeColor="text1"/>
                <w:sz w:val="24"/>
                <w:szCs w:val="22"/>
                <w:highlight w:val="none"/>
                <w:lang w:val="en-US" w:eastAsia="zh-CN"/>
                <w14:textFill>
                  <w14:solidFill>
                    <w14:schemeClr w14:val="tx1"/>
                  </w14:solidFill>
                </w14:textFill>
              </w:rPr>
              <w:t>艺、新流程，优化提升效率，实现连续稳定的生产，扎实做好FDA等国际的认证准备工作。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附件清单</w:t>
            </w:r>
          </w:p>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（如有）</w:t>
            </w: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14:textFill>
                  <w14:solidFill>
                    <w14:schemeClr w14:val="tx1"/>
                  </w14:solidFill>
                </w14:textFill>
              </w:rPr>
            </w:pPr>
            <w:r>
              <w:rPr>
                <w:rStyle w:val="6"/>
                <w:rFonts w:ascii="宋体" w:hAnsi="宋体"/>
                <w:bCs/>
                <w:iCs/>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14:textFill>
                  <w14:solidFill>
                    <w14:schemeClr w14:val="tx1"/>
                  </w14:solidFill>
                </w14:textFill>
              </w:rPr>
            </w:pPr>
            <w:r>
              <w:rPr>
                <w:rStyle w:val="6"/>
                <w:rFonts w:ascii="宋体" w:hAnsi="宋体"/>
                <w:b/>
                <w:bCs/>
                <w:iCs/>
                <w:color w:val="000000" w:themeColor="text1"/>
                <w:sz w:val="24"/>
                <w14:textFill>
                  <w14:solidFill>
                    <w14:schemeClr w14:val="tx1"/>
                  </w14:solidFill>
                </w14:textFill>
              </w:rPr>
              <w:t>日期</w:t>
            </w:r>
          </w:p>
        </w:tc>
        <w:tc>
          <w:tcPr>
            <w:tcW w:w="6639"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14:textFill>
                  <w14:solidFill>
                    <w14:schemeClr w14:val="tx1"/>
                  </w14:solidFill>
                </w14:textFill>
              </w:rPr>
            </w:pPr>
            <w:r>
              <w:rPr>
                <w:rStyle w:val="6"/>
                <w:rFonts w:ascii="宋体" w:hAnsi="宋体"/>
                <w:bCs/>
                <w:iCs/>
                <w:color w:val="000000" w:themeColor="text1"/>
                <w:sz w:val="24"/>
                <w14:textFill>
                  <w14:solidFill>
                    <w14:schemeClr w14:val="tx1"/>
                  </w14:solidFill>
                </w14:textFill>
              </w:rPr>
              <w:t>20</w:t>
            </w:r>
            <w:r>
              <w:rPr>
                <w:rStyle w:val="6"/>
                <w:rFonts w:hint="eastAsia" w:ascii="宋体" w:hAnsi="宋体"/>
                <w:bCs/>
                <w:iCs/>
                <w:color w:val="000000" w:themeColor="text1"/>
                <w:sz w:val="24"/>
                <w:lang w:val="en-US" w:eastAsia="zh-CN"/>
                <w14:textFill>
                  <w14:solidFill>
                    <w14:schemeClr w14:val="tx1"/>
                  </w14:solidFill>
                </w14:textFill>
              </w:rPr>
              <w:t>21</w:t>
            </w:r>
            <w:r>
              <w:rPr>
                <w:rStyle w:val="6"/>
                <w:rFonts w:ascii="宋体" w:hAnsi="宋体"/>
                <w:bCs/>
                <w:iCs/>
                <w:color w:val="000000" w:themeColor="text1"/>
                <w:sz w:val="24"/>
                <w14:textFill>
                  <w14:solidFill>
                    <w14:schemeClr w14:val="tx1"/>
                  </w14:solidFill>
                </w14:textFill>
              </w:rPr>
              <w:t>年</w:t>
            </w:r>
            <w:r>
              <w:rPr>
                <w:rStyle w:val="6"/>
                <w:rFonts w:hint="eastAsia" w:ascii="宋体" w:hAnsi="宋体"/>
                <w:bCs/>
                <w:iCs/>
                <w:color w:val="000000" w:themeColor="text1"/>
                <w:sz w:val="24"/>
                <w:lang w:val="en-US" w:eastAsia="zh-CN"/>
                <w14:textFill>
                  <w14:solidFill>
                    <w14:schemeClr w14:val="tx1"/>
                  </w14:solidFill>
                </w14:textFill>
              </w:rPr>
              <w:t>3</w:t>
            </w:r>
            <w:r>
              <w:rPr>
                <w:rStyle w:val="6"/>
                <w:rFonts w:ascii="宋体" w:hAnsi="宋体"/>
                <w:bCs/>
                <w:iCs/>
                <w:color w:val="000000" w:themeColor="text1"/>
                <w:sz w:val="24"/>
                <w14:textFill>
                  <w14:solidFill>
                    <w14:schemeClr w14:val="tx1"/>
                  </w14:solidFill>
                </w14:textFill>
              </w:rPr>
              <w:t>月</w:t>
            </w:r>
            <w:r>
              <w:rPr>
                <w:rStyle w:val="6"/>
                <w:rFonts w:hint="eastAsia" w:ascii="宋体" w:hAnsi="宋体"/>
                <w:bCs/>
                <w:iCs/>
                <w:color w:val="000000" w:themeColor="text1"/>
                <w:sz w:val="24"/>
                <w:lang w:val="en-US" w:eastAsia="zh-CN"/>
                <w14:textFill>
                  <w14:solidFill>
                    <w14:schemeClr w14:val="tx1"/>
                  </w14:solidFill>
                </w14:textFill>
              </w:rPr>
              <w:t>3</w:t>
            </w:r>
            <w:r>
              <w:rPr>
                <w:rStyle w:val="6"/>
                <w:rFonts w:ascii="宋体" w:hAnsi="宋体"/>
                <w:bCs/>
                <w:iCs/>
                <w:color w:val="000000" w:themeColor="text1"/>
                <w:sz w:val="24"/>
                <w14:textFill>
                  <w14:solidFill>
                    <w14:schemeClr w14:val="tx1"/>
                  </w14:solidFill>
                </w14:textFill>
              </w:rPr>
              <w:t>日</w:t>
            </w:r>
          </w:p>
        </w:tc>
      </w:tr>
    </w:tbl>
    <w:p>
      <w:pPr>
        <w:spacing w:line="360" w:lineRule="auto"/>
        <w:ind w:firstLine="360"/>
        <w:jc w:val="left"/>
        <w:rPr>
          <w:rStyle w:val="6"/>
          <w:rFonts w:ascii="宋体" w:hAnsi="宋体"/>
          <w:color w:val="000000" w:themeColor="text1"/>
          <w:sz w:val="24"/>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3418"/>
    <w:multiLevelType w:val="singleLevel"/>
    <w:tmpl w:val="31DE34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1E"/>
    <w:rsid w:val="00103205"/>
    <w:rsid w:val="0022211E"/>
    <w:rsid w:val="00222F19"/>
    <w:rsid w:val="00387786"/>
    <w:rsid w:val="004678F9"/>
    <w:rsid w:val="00500DAB"/>
    <w:rsid w:val="00525F7E"/>
    <w:rsid w:val="006D7679"/>
    <w:rsid w:val="0076775C"/>
    <w:rsid w:val="007D35F5"/>
    <w:rsid w:val="00874952"/>
    <w:rsid w:val="009152F2"/>
    <w:rsid w:val="00A128E7"/>
    <w:rsid w:val="00A41C80"/>
    <w:rsid w:val="00AD38E6"/>
    <w:rsid w:val="00B408F7"/>
    <w:rsid w:val="00C80D76"/>
    <w:rsid w:val="00E3536B"/>
    <w:rsid w:val="00E5244D"/>
    <w:rsid w:val="00E55D97"/>
    <w:rsid w:val="00EB0518"/>
    <w:rsid w:val="00EB5DDB"/>
    <w:rsid w:val="00EE25F4"/>
    <w:rsid w:val="00F45868"/>
    <w:rsid w:val="00F93DC3"/>
    <w:rsid w:val="00FA1297"/>
    <w:rsid w:val="01D12014"/>
    <w:rsid w:val="07AD72A1"/>
    <w:rsid w:val="07DB5D29"/>
    <w:rsid w:val="07FB4EFE"/>
    <w:rsid w:val="095F2057"/>
    <w:rsid w:val="09B3652D"/>
    <w:rsid w:val="0A6F58F6"/>
    <w:rsid w:val="0C7940D4"/>
    <w:rsid w:val="0C9E57F7"/>
    <w:rsid w:val="0CE60B1A"/>
    <w:rsid w:val="0FB156BD"/>
    <w:rsid w:val="10657407"/>
    <w:rsid w:val="1183681F"/>
    <w:rsid w:val="124B7A44"/>
    <w:rsid w:val="140C6DF4"/>
    <w:rsid w:val="15B34797"/>
    <w:rsid w:val="1C410F3F"/>
    <w:rsid w:val="1C5D4CAF"/>
    <w:rsid w:val="1EDE769F"/>
    <w:rsid w:val="21564F9A"/>
    <w:rsid w:val="21C97537"/>
    <w:rsid w:val="23C632A7"/>
    <w:rsid w:val="24581CCD"/>
    <w:rsid w:val="24781640"/>
    <w:rsid w:val="25C10A17"/>
    <w:rsid w:val="26261FAA"/>
    <w:rsid w:val="27730FD9"/>
    <w:rsid w:val="280638E4"/>
    <w:rsid w:val="286E314E"/>
    <w:rsid w:val="2A1D5190"/>
    <w:rsid w:val="2C87471B"/>
    <w:rsid w:val="2E5734CA"/>
    <w:rsid w:val="2F5A7FAE"/>
    <w:rsid w:val="2F627A5E"/>
    <w:rsid w:val="2FA30ED7"/>
    <w:rsid w:val="30B7290D"/>
    <w:rsid w:val="315232A8"/>
    <w:rsid w:val="3AF864F7"/>
    <w:rsid w:val="3D6545D0"/>
    <w:rsid w:val="3EE52723"/>
    <w:rsid w:val="3F6B2AC9"/>
    <w:rsid w:val="3FC1372E"/>
    <w:rsid w:val="422541A4"/>
    <w:rsid w:val="42F46E82"/>
    <w:rsid w:val="44FF53F5"/>
    <w:rsid w:val="4540473C"/>
    <w:rsid w:val="46871672"/>
    <w:rsid w:val="485E1656"/>
    <w:rsid w:val="4ADB0EEB"/>
    <w:rsid w:val="4B824593"/>
    <w:rsid w:val="4E0060B5"/>
    <w:rsid w:val="4ECC4B5E"/>
    <w:rsid w:val="4F3D71B4"/>
    <w:rsid w:val="4F5E514B"/>
    <w:rsid w:val="502F666B"/>
    <w:rsid w:val="524B6183"/>
    <w:rsid w:val="549E1CCA"/>
    <w:rsid w:val="553A50BF"/>
    <w:rsid w:val="571D46CE"/>
    <w:rsid w:val="57EA044E"/>
    <w:rsid w:val="59AD2754"/>
    <w:rsid w:val="5C071E4F"/>
    <w:rsid w:val="5F62039E"/>
    <w:rsid w:val="65765787"/>
    <w:rsid w:val="66B82C7C"/>
    <w:rsid w:val="691B1209"/>
    <w:rsid w:val="69293B3A"/>
    <w:rsid w:val="6B9C475C"/>
    <w:rsid w:val="6C0C58DC"/>
    <w:rsid w:val="6CE33CC0"/>
    <w:rsid w:val="6DD877BE"/>
    <w:rsid w:val="7136186B"/>
    <w:rsid w:val="740657A3"/>
    <w:rsid w:val="74267CE5"/>
    <w:rsid w:val="76ED507E"/>
    <w:rsid w:val="770C3160"/>
    <w:rsid w:val="778973E0"/>
    <w:rsid w:val="77F96A80"/>
    <w:rsid w:val="786D601E"/>
    <w:rsid w:val="78D74447"/>
    <w:rsid w:val="79EF3512"/>
    <w:rsid w:val="7BF006F4"/>
    <w:rsid w:val="7F64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link w:val="9"/>
    <w:qFormat/>
    <w:uiPriority w:val="0"/>
    <w:rPr>
      <w:kern w:val="2"/>
      <w:sz w:val="18"/>
      <w:szCs w:val="18"/>
    </w:rPr>
  </w:style>
  <w:style w:type="paragraph" w:customStyle="1" w:styleId="9">
    <w:name w:val="Header"/>
    <w:basedOn w:val="1"/>
    <w:link w:val="8"/>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UserStyle_1"/>
    <w:link w:val="11"/>
    <w:qFormat/>
    <w:uiPriority w:val="0"/>
    <w:rPr>
      <w:kern w:val="2"/>
      <w:sz w:val="18"/>
      <w:szCs w:val="18"/>
    </w:rPr>
  </w:style>
  <w:style w:type="paragraph" w:customStyle="1" w:styleId="11">
    <w:name w:val="Footer"/>
    <w:basedOn w:val="1"/>
    <w:link w:val="10"/>
    <w:qFormat/>
    <w:uiPriority w:val="0"/>
    <w:pPr>
      <w:tabs>
        <w:tab w:val="center" w:pos="4153"/>
        <w:tab w:val="right" w:pos="8306"/>
      </w:tabs>
      <w:snapToGrid w:val="0"/>
      <w:jc w:val="left"/>
    </w:pPr>
    <w:rPr>
      <w:sz w:val="18"/>
      <w:szCs w:val="18"/>
    </w:rPr>
  </w:style>
  <w:style w:type="paragraph" w:customStyle="1" w:styleId="12">
    <w:name w:val="Acetate"/>
    <w:basedOn w:val="1"/>
    <w:qFormat/>
    <w:uiPriority w:val="0"/>
    <w:rPr>
      <w:sz w:val="18"/>
      <w:szCs w:val="18"/>
    </w:rPr>
  </w:style>
  <w:style w:type="character" w:customStyle="1" w:styleId="13">
    <w:name w:val="页眉 Char"/>
    <w:basedOn w:val="5"/>
    <w:link w:val="3"/>
    <w:semiHidden/>
    <w:qFormat/>
    <w:uiPriority w:val="99"/>
    <w:rPr>
      <w:kern w:val="2"/>
      <w:sz w:val="18"/>
      <w:szCs w:val="18"/>
    </w:rPr>
  </w:style>
  <w:style w:type="character" w:customStyle="1" w:styleId="14">
    <w:name w:val="页脚 Char"/>
    <w:basedOn w:val="5"/>
    <w:link w:val="2"/>
    <w:semiHidden/>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287</Words>
  <Characters>1641</Characters>
  <Lines>13</Lines>
  <Paragraphs>3</Paragraphs>
  <TotalTime>46</TotalTime>
  <ScaleCrop>false</ScaleCrop>
  <LinksUpToDate>false</LinksUpToDate>
  <CharactersWithSpaces>1925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2021-03-03T06:12:00Z</cp:lastPrinted>
  <dcterms:modified xsi:type="dcterms:W3CDTF">2021-03-04T08:38:05Z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